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C40" w:rsidRPr="007E266E" w:rsidRDefault="006441D4" w:rsidP="00CD7C40">
      <w:pPr>
        <w:pStyle w:val="Heading1"/>
      </w:pPr>
      <w:r w:rsidRPr="006441D4">
        <w:t>F</w:t>
      </w:r>
      <w:r>
        <w:t>ROM</w:t>
      </w:r>
      <w:r w:rsidRPr="006441D4">
        <w:t xml:space="preserve"> R</w:t>
      </w:r>
      <w:r>
        <w:t>ED</w:t>
      </w:r>
      <w:r w:rsidRPr="006441D4">
        <w:t xml:space="preserve"> </w:t>
      </w:r>
      <w:r>
        <w:t>TO</w:t>
      </w:r>
      <w:r w:rsidRPr="006441D4">
        <w:t xml:space="preserve"> G</w:t>
      </w:r>
      <w:r>
        <w:t>REY</w:t>
      </w:r>
      <w:r w:rsidRPr="006441D4">
        <w:t>: R</w:t>
      </w:r>
      <w:r>
        <w:t>EVISITING</w:t>
      </w:r>
      <w:r w:rsidRPr="006441D4">
        <w:t xml:space="preserve"> </w:t>
      </w:r>
      <w:r>
        <w:t>THE</w:t>
      </w:r>
      <w:r w:rsidRPr="006441D4">
        <w:t xml:space="preserve"> P</w:t>
      </w:r>
      <w:r>
        <w:t>EDERSEN</w:t>
      </w:r>
      <w:r w:rsidRPr="006441D4">
        <w:t xml:space="preserve"> </w:t>
      </w:r>
      <w:r>
        <w:t>PROCESS</w:t>
      </w:r>
      <w:r w:rsidRPr="006441D4">
        <w:t xml:space="preserve"> </w:t>
      </w:r>
      <w:r>
        <w:t>TO</w:t>
      </w:r>
      <w:r w:rsidRPr="006441D4">
        <w:t xml:space="preserve"> </w:t>
      </w:r>
      <w:r>
        <w:t>ACHIEVE</w:t>
      </w:r>
      <w:r w:rsidRPr="006441D4">
        <w:t xml:space="preserve"> </w:t>
      </w:r>
      <w:r>
        <w:t>HOLISTIC</w:t>
      </w:r>
      <w:r w:rsidRPr="006441D4">
        <w:t xml:space="preserve"> </w:t>
      </w:r>
      <w:r>
        <w:t>BAUXITE</w:t>
      </w:r>
      <w:r w:rsidRPr="006441D4">
        <w:t xml:space="preserve"> </w:t>
      </w:r>
      <w:r>
        <w:t>ORE</w:t>
      </w:r>
      <w:r w:rsidRPr="006441D4">
        <w:t xml:space="preserve"> </w:t>
      </w:r>
      <w:r>
        <w:t>UTILISATION</w:t>
      </w:r>
    </w:p>
    <w:p w:rsidR="00CD7C40" w:rsidRPr="007C3E0C" w:rsidRDefault="006441D4" w:rsidP="00CD7C40">
      <w:pPr>
        <w:pStyle w:val="Authors"/>
      </w:pPr>
      <w:proofErr w:type="spellStart"/>
      <w:r w:rsidRPr="006441D4">
        <w:t>Michail</w:t>
      </w:r>
      <w:proofErr w:type="spellEnd"/>
      <w:r w:rsidRPr="006441D4">
        <w:t xml:space="preserve"> VAFEIAS</w:t>
      </w:r>
      <w:r w:rsidR="00CD7C40" w:rsidRPr="007C3E0C">
        <w:rPr>
          <w:vertAlign w:val="superscript"/>
        </w:rPr>
        <w:t>1</w:t>
      </w:r>
      <w:r w:rsidR="00CD7C40" w:rsidRPr="007C3E0C">
        <w:t xml:space="preserve">, </w:t>
      </w:r>
      <w:proofErr w:type="spellStart"/>
      <w:r w:rsidRPr="006441D4">
        <w:t>Danai</w:t>
      </w:r>
      <w:proofErr w:type="spellEnd"/>
      <w:r w:rsidRPr="006441D4">
        <w:t xml:space="preserve"> MARINOS</w:t>
      </w:r>
      <w:r w:rsidR="00C12FCC">
        <w:rPr>
          <w:vertAlign w:val="superscript"/>
        </w:rPr>
        <w:t>1</w:t>
      </w:r>
      <w:r>
        <w:t xml:space="preserve">, </w:t>
      </w:r>
      <w:proofErr w:type="spellStart"/>
      <w:r w:rsidRPr="006441D4">
        <w:t>Dimitrios</w:t>
      </w:r>
      <w:proofErr w:type="spellEnd"/>
      <w:r w:rsidRPr="006441D4">
        <w:t xml:space="preserve"> PANIAS</w:t>
      </w:r>
      <w:r w:rsidR="00C12FCC">
        <w:rPr>
          <w:vertAlign w:val="superscript"/>
        </w:rPr>
        <w:t>1</w:t>
      </w:r>
      <w:r w:rsidR="00F333BD">
        <w:t xml:space="preserve">, </w:t>
      </w:r>
      <w:proofErr w:type="spellStart"/>
      <w:r w:rsidR="00F333BD" w:rsidRPr="006441D4">
        <w:t>Jafar</w:t>
      </w:r>
      <w:proofErr w:type="spellEnd"/>
      <w:r w:rsidR="00F333BD" w:rsidRPr="006441D4">
        <w:t xml:space="preserve"> SAFARIAN</w:t>
      </w:r>
      <w:r w:rsidR="00F333BD">
        <w:rPr>
          <w:vertAlign w:val="superscript"/>
        </w:rPr>
        <w:t>2</w:t>
      </w:r>
      <w:r w:rsidR="00F333BD">
        <w:t xml:space="preserve">, </w:t>
      </w:r>
      <w:r w:rsidR="00F333BD" w:rsidRPr="006441D4">
        <w:t>Casper VAN DER EIJK</w:t>
      </w:r>
      <w:r w:rsidR="00F333BD">
        <w:rPr>
          <w:vertAlign w:val="superscript"/>
        </w:rPr>
        <w:t>3</w:t>
      </w:r>
      <w:r w:rsidR="00F333BD">
        <w:t xml:space="preserve">, </w:t>
      </w:r>
      <w:r w:rsidR="00F333BD" w:rsidRPr="006441D4">
        <w:t>Ingeborg SOLHEIM</w:t>
      </w:r>
      <w:r w:rsidR="00F333BD">
        <w:rPr>
          <w:vertAlign w:val="superscript"/>
        </w:rPr>
        <w:t>3</w:t>
      </w:r>
      <w:r w:rsidR="00F333BD">
        <w:t xml:space="preserve">, </w:t>
      </w:r>
      <w:proofErr w:type="spellStart"/>
      <w:r w:rsidRPr="006441D4">
        <w:t>Efthymios</w:t>
      </w:r>
      <w:proofErr w:type="spellEnd"/>
      <w:r w:rsidRPr="006441D4">
        <w:t xml:space="preserve"> BALOMENOS</w:t>
      </w:r>
      <w:r w:rsidR="00C12FCC">
        <w:rPr>
          <w:vertAlign w:val="superscript"/>
        </w:rPr>
        <w:t>1</w:t>
      </w:r>
      <w:r>
        <w:t xml:space="preserve">, </w:t>
      </w:r>
      <w:r w:rsidR="00F333BD" w:rsidRPr="006441D4">
        <w:t>Michal KSIAZEK</w:t>
      </w:r>
      <w:r w:rsidR="00F333BD">
        <w:rPr>
          <w:vertAlign w:val="superscript"/>
        </w:rPr>
        <w:t>3</w:t>
      </w:r>
      <w:r w:rsidR="00F333BD">
        <w:t xml:space="preserve">, </w:t>
      </w:r>
      <w:r w:rsidRPr="006441D4">
        <w:t>Panagiotis DAVRIS</w:t>
      </w:r>
      <w:r w:rsidR="00C12FCC">
        <w:rPr>
          <w:vertAlign w:val="superscript"/>
        </w:rPr>
        <w:t>1</w:t>
      </w:r>
      <w:r>
        <w:t xml:space="preserve"> </w:t>
      </w:r>
    </w:p>
    <w:p w:rsidR="00CD7C40" w:rsidRPr="007C3E0C" w:rsidRDefault="00CD7C40" w:rsidP="00CD7C40">
      <w:pPr>
        <w:pStyle w:val="Affiliation"/>
      </w:pPr>
      <w:r w:rsidRPr="007C3E0C">
        <w:rPr>
          <w:vertAlign w:val="superscript"/>
        </w:rPr>
        <w:t>1</w:t>
      </w:r>
      <w:r w:rsidR="009C0AB6">
        <w:t xml:space="preserve"> </w:t>
      </w:r>
      <w:r w:rsidR="009C0AB6" w:rsidRPr="009C0AB6">
        <w:t>NTUA</w:t>
      </w:r>
      <w:r w:rsidR="009C0AB6">
        <w:t xml:space="preserve"> </w:t>
      </w:r>
      <w:r w:rsidR="00C4618E">
        <w:t>(National Technical University of Athens), Laboratory o</w:t>
      </w:r>
      <w:r w:rsidR="009C0AB6" w:rsidRPr="009C0AB6">
        <w:t>f Metallurgy, Athens</w:t>
      </w:r>
      <w:r w:rsidR="00C4618E">
        <w:t>,</w:t>
      </w:r>
      <w:r w:rsidR="009C0AB6" w:rsidRPr="009C0AB6">
        <w:t xml:space="preserve"> Greece</w:t>
      </w:r>
    </w:p>
    <w:p w:rsidR="009C0AB6" w:rsidRDefault="00CD7C40" w:rsidP="009C0AB6">
      <w:pPr>
        <w:pStyle w:val="Affiliation"/>
      </w:pPr>
      <w:r w:rsidRPr="007C3E0C">
        <w:rPr>
          <w:vertAlign w:val="superscript"/>
        </w:rPr>
        <w:t>2</w:t>
      </w:r>
      <w:r w:rsidRPr="007C3E0C">
        <w:t xml:space="preserve"> </w:t>
      </w:r>
      <w:r w:rsidR="00F333BD">
        <w:t>Norwegian University of Science and Technology (NTNU), Department of Materials Science and Engineering, Trondheim, Norway</w:t>
      </w:r>
    </w:p>
    <w:p w:rsidR="009C0AB6" w:rsidRDefault="00F333BD" w:rsidP="009C0AB6">
      <w:pPr>
        <w:pStyle w:val="Affiliation"/>
      </w:pPr>
      <w:r w:rsidRPr="00F333BD">
        <w:rPr>
          <w:vertAlign w:val="superscript"/>
        </w:rPr>
        <w:t>3</w:t>
      </w:r>
      <w:r>
        <w:t xml:space="preserve"> </w:t>
      </w:r>
      <w:r w:rsidRPr="00F333BD">
        <w:t>SINTEF Materials and Chemistry, N-7465 Trondheim, Norway</w:t>
      </w:r>
    </w:p>
    <w:p w:rsidR="00FE3793" w:rsidRPr="00FE3793" w:rsidRDefault="00FE3793" w:rsidP="00FE3793">
      <w:pPr>
        <w:pStyle w:val="Affiliation"/>
      </w:pPr>
      <w:r w:rsidRPr="00FE3793">
        <w:rPr>
          <w:vertAlign w:val="superscript"/>
        </w:rPr>
        <w:t xml:space="preserve">4 </w:t>
      </w:r>
      <w:proofErr w:type="spellStart"/>
      <w:r w:rsidRPr="00FE3793">
        <w:t>Mytilineos</w:t>
      </w:r>
      <w:proofErr w:type="spellEnd"/>
      <w:r w:rsidRPr="00FE3793">
        <w:t xml:space="preserve"> S.A. – Metallurgy Business Unit, Aluminium of Greece Plant, </w:t>
      </w:r>
      <w:proofErr w:type="spellStart"/>
      <w:r w:rsidRPr="00FE3793">
        <w:t>Viotia</w:t>
      </w:r>
      <w:proofErr w:type="spellEnd"/>
      <w:r w:rsidRPr="00FE3793">
        <w:t>, Greece</w:t>
      </w:r>
    </w:p>
    <w:p w:rsidR="00FE3793" w:rsidRPr="007C3E0C" w:rsidRDefault="00FE3793" w:rsidP="009C0AB6">
      <w:pPr>
        <w:pStyle w:val="Affiliation"/>
      </w:pPr>
    </w:p>
    <w:p w:rsidR="00CD7C40" w:rsidRPr="007C3E0C" w:rsidRDefault="00F333BD" w:rsidP="00C4618E">
      <w:pPr>
        <w:pStyle w:val="Email"/>
      </w:pPr>
      <w:r w:rsidRPr="00F333BD">
        <w:t xml:space="preserve">michalisvafeias@ntua.gr, dmarinou@metal.ntua.gr, </w:t>
      </w:r>
      <w:r>
        <w:t>panias@metal.ntua.gr</w:t>
      </w:r>
      <w:r w:rsidRPr="00F333BD">
        <w:t>,</w:t>
      </w:r>
      <w:r>
        <w:t xml:space="preserve"> </w:t>
      </w:r>
      <w:r w:rsidRPr="00F333BD">
        <w:t>jafar.safarian@ntnu.no,</w:t>
      </w:r>
      <w:r>
        <w:t xml:space="preserve"> </w:t>
      </w:r>
      <w:r w:rsidRPr="00F333BD">
        <w:t>casper.eijk@sintef.no,</w:t>
      </w:r>
      <w:r>
        <w:t xml:space="preserve"> </w:t>
      </w:r>
      <w:r w:rsidRPr="00F333BD">
        <w:t>ingeborg.solheim@sintef.no</w:t>
      </w:r>
      <w:r>
        <w:t>,</w:t>
      </w:r>
      <w:r w:rsidRPr="00F333BD">
        <w:t xml:space="preserve"> </w:t>
      </w:r>
      <w:r>
        <w:t xml:space="preserve">efthymios.balomenos-external@alhellas.gr, </w:t>
      </w:r>
      <w:r w:rsidRPr="00F333BD">
        <w:t>michal.ksiazek@sintef.no,</w:t>
      </w:r>
      <w:r>
        <w:t xml:space="preserve"> panosdavris@metal.ntua.gr</w:t>
      </w:r>
    </w:p>
    <w:p w:rsidR="00CD7C40" w:rsidRPr="007C3E0C" w:rsidRDefault="00CD7C40" w:rsidP="00CD7C40">
      <w:pPr>
        <w:pStyle w:val="Heading2"/>
      </w:pPr>
      <w:r w:rsidRPr="007C3E0C">
        <w:t>Abstract</w:t>
      </w:r>
    </w:p>
    <w:p w:rsidR="00CD7C40" w:rsidRPr="004E55A3" w:rsidRDefault="00D136F9" w:rsidP="004E55A3">
      <w:pPr>
        <w:pStyle w:val="Abstract"/>
        <w:rPr>
          <w:lang w:val="en-US"/>
        </w:rPr>
      </w:pPr>
      <w:r>
        <w:rPr>
          <w:lang w:val="en-US"/>
        </w:rPr>
        <w:t>The Pedersen Process is an alternative process for the production of alumina</w:t>
      </w:r>
      <w:r w:rsidR="00F40E0C">
        <w:rPr>
          <w:lang w:val="en-US"/>
        </w:rPr>
        <w:t>.</w:t>
      </w:r>
      <w:r>
        <w:rPr>
          <w:lang w:val="en-US"/>
        </w:rPr>
        <w:t xml:space="preserve"> Initially</w:t>
      </w:r>
      <w:r w:rsidR="00F40E0C">
        <w:rPr>
          <w:lang w:val="en-US"/>
        </w:rPr>
        <w:t>,</w:t>
      </w:r>
      <w:r>
        <w:rPr>
          <w:lang w:val="en-US"/>
        </w:rPr>
        <w:t xml:space="preserve"> </w:t>
      </w:r>
      <w:r w:rsidRPr="00D136F9">
        <w:rPr>
          <w:lang w:val="en-US"/>
        </w:rPr>
        <w:t>bauxite</w:t>
      </w:r>
      <w:r>
        <w:rPr>
          <w:lang w:val="en-US"/>
        </w:rPr>
        <w:t xml:space="preserve"> ores</w:t>
      </w:r>
      <w:r w:rsidRPr="00D136F9">
        <w:rPr>
          <w:lang w:val="en-US"/>
        </w:rPr>
        <w:t>, or other aluminous materials</w:t>
      </w:r>
      <w:r>
        <w:rPr>
          <w:lang w:val="en-US"/>
        </w:rPr>
        <w:t>,</w:t>
      </w:r>
      <w:r w:rsidRPr="00D136F9">
        <w:rPr>
          <w:lang w:val="en-US"/>
        </w:rPr>
        <w:t xml:space="preserve"> are smelted with lime and fluxes to produce </w:t>
      </w:r>
      <w:r>
        <w:rPr>
          <w:lang w:val="en-US"/>
        </w:rPr>
        <w:t xml:space="preserve">pig iron and a slag of mainly </w:t>
      </w:r>
      <w:r w:rsidRPr="00D136F9">
        <w:rPr>
          <w:lang w:val="en-US"/>
        </w:rPr>
        <w:t xml:space="preserve">calcium aluminate </w:t>
      </w:r>
      <w:r>
        <w:rPr>
          <w:lang w:val="en-US"/>
        </w:rPr>
        <w:t>composition</w:t>
      </w:r>
      <w:r w:rsidRPr="00D136F9">
        <w:rPr>
          <w:lang w:val="en-US"/>
        </w:rPr>
        <w:t xml:space="preserve">. The latter </w:t>
      </w:r>
      <w:r>
        <w:rPr>
          <w:lang w:val="en-US"/>
        </w:rPr>
        <w:t>is</w:t>
      </w:r>
      <w:r w:rsidRPr="00D136F9">
        <w:rPr>
          <w:lang w:val="en-US"/>
        </w:rPr>
        <w:t xml:space="preserve"> </w:t>
      </w:r>
      <w:r>
        <w:rPr>
          <w:lang w:val="en-US"/>
        </w:rPr>
        <w:t xml:space="preserve">subsequently </w:t>
      </w:r>
      <w:r w:rsidRPr="00D136F9">
        <w:rPr>
          <w:lang w:val="en-US"/>
        </w:rPr>
        <w:t xml:space="preserve">leached in </w:t>
      </w:r>
      <w:r w:rsidR="00F40E0C">
        <w:rPr>
          <w:lang w:val="en-US"/>
        </w:rPr>
        <w:t>Na</w:t>
      </w:r>
      <w:r w:rsidR="00F40E0C" w:rsidRPr="00F40E0C">
        <w:rPr>
          <w:vertAlign w:val="subscript"/>
          <w:lang w:val="en-US"/>
        </w:rPr>
        <w:t>2</w:t>
      </w:r>
      <w:r w:rsidR="00F40E0C">
        <w:rPr>
          <w:lang w:val="en-US"/>
        </w:rPr>
        <w:t>CO</w:t>
      </w:r>
      <w:r w:rsidR="00F40E0C" w:rsidRPr="00F40E0C">
        <w:rPr>
          <w:vertAlign w:val="subscript"/>
          <w:lang w:val="en-US"/>
        </w:rPr>
        <w:t>3</w:t>
      </w:r>
      <w:r>
        <w:rPr>
          <w:lang w:val="en-US"/>
        </w:rPr>
        <w:t xml:space="preserve"> solutions to extract alumina. The solid slag residue from the</w:t>
      </w:r>
      <w:r w:rsidRPr="00D136F9">
        <w:rPr>
          <w:lang w:val="en-US"/>
        </w:rPr>
        <w:t xml:space="preserve"> leaching</w:t>
      </w:r>
      <w:r>
        <w:rPr>
          <w:lang w:val="en-US"/>
        </w:rPr>
        <w:t xml:space="preserve"> stage</w:t>
      </w:r>
      <w:r w:rsidRPr="00D136F9">
        <w:rPr>
          <w:lang w:val="en-US"/>
        </w:rPr>
        <w:t xml:space="preserve"> is a mixture consisting mainly of calcium carbonate and </w:t>
      </w:r>
      <w:r w:rsidR="004E55A3">
        <w:rPr>
          <w:lang w:val="en-US"/>
        </w:rPr>
        <w:t>Ca-Si-TI</w:t>
      </w:r>
      <w:r w:rsidRPr="00D136F9">
        <w:rPr>
          <w:lang w:val="en-US"/>
        </w:rPr>
        <w:t xml:space="preserve"> phases, called Grey Mud. Compared to Red Mud, it </w:t>
      </w:r>
      <w:r>
        <w:rPr>
          <w:lang w:val="en-US"/>
        </w:rPr>
        <w:t>is of low alkalinity and contains no iron.</w:t>
      </w:r>
      <w:r w:rsidRPr="00D136F9">
        <w:rPr>
          <w:lang w:val="en-US"/>
        </w:rPr>
        <w:t xml:space="preserve"> </w:t>
      </w:r>
      <w:r>
        <w:rPr>
          <w:lang w:val="en-US"/>
        </w:rPr>
        <w:t xml:space="preserve">Its </w:t>
      </w:r>
      <w:r w:rsidRPr="00D136F9">
        <w:rPr>
          <w:lang w:val="en-US"/>
        </w:rPr>
        <w:t xml:space="preserve">high calcium </w:t>
      </w:r>
      <w:r>
        <w:rPr>
          <w:lang w:val="en-US"/>
        </w:rPr>
        <w:t>renders it</w:t>
      </w:r>
      <w:r w:rsidRPr="00D136F9">
        <w:rPr>
          <w:lang w:val="en-US"/>
        </w:rPr>
        <w:t xml:space="preserve"> </w:t>
      </w:r>
      <w:r>
        <w:rPr>
          <w:lang w:val="en-US"/>
        </w:rPr>
        <w:t xml:space="preserve">suitable </w:t>
      </w:r>
      <w:r w:rsidR="00F40E0C">
        <w:rPr>
          <w:lang w:val="en-US"/>
        </w:rPr>
        <w:t>for use as a raw material in</w:t>
      </w:r>
      <w:r w:rsidRPr="00D136F9">
        <w:rPr>
          <w:lang w:val="en-US"/>
        </w:rPr>
        <w:t xml:space="preserve"> the cement industry or as a soil additive </w:t>
      </w:r>
      <w:r w:rsidR="00F40E0C">
        <w:rPr>
          <w:lang w:val="en-US"/>
        </w:rPr>
        <w:t>in</w:t>
      </w:r>
      <w:r w:rsidRPr="00D136F9">
        <w:rPr>
          <w:lang w:val="en-US"/>
        </w:rPr>
        <w:t xml:space="preserve"> </w:t>
      </w:r>
      <w:r w:rsidR="00F40E0C">
        <w:rPr>
          <w:lang w:val="en-US"/>
        </w:rPr>
        <w:t>agriculture</w:t>
      </w:r>
      <w:r>
        <w:rPr>
          <w:lang w:val="en-US"/>
        </w:rPr>
        <w:t xml:space="preserve">. In addition, </w:t>
      </w:r>
      <w:r w:rsidRPr="00D136F9">
        <w:rPr>
          <w:lang w:val="en-US"/>
        </w:rPr>
        <w:t>depending on the initial bauxite composition,</w:t>
      </w:r>
      <w:r>
        <w:rPr>
          <w:lang w:val="en-US"/>
        </w:rPr>
        <w:t xml:space="preserve"> grey mud could also</w:t>
      </w:r>
      <w:r w:rsidRPr="00D136F9">
        <w:rPr>
          <w:lang w:val="en-US"/>
        </w:rPr>
        <w:t xml:space="preserve"> be further leached for the extraction of valuable trace elements, such </w:t>
      </w:r>
      <w:r w:rsidR="004E55A3">
        <w:rPr>
          <w:lang w:val="en-US"/>
        </w:rPr>
        <w:t>Rare Earth Elements (</w:t>
      </w:r>
      <w:r w:rsidRPr="00D136F9">
        <w:rPr>
          <w:lang w:val="en-US"/>
        </w:rPr>
        <w:t>REEs</w:t>
      </w:r>
      <w:r w:rsidR="004E55A3">
        <w:rPr>
          <w:lang w:val="en-US"/>
        </w:rPr>
        <w:t>)</w:t>
      </w:r>
      <w:r w:rsidRPr="00D136F9">
        <w:rPr>
          <w:lang w:val="en-US"/>
        </w:rPr>
        <w:t xml:space="preserve"> and Sc.</w:t>
      </w:r>
      <w:r w:rsidR="00F40E0C">
        <w:rPr>
          <w:lang w:val="en-US"/>
        </w:rPr>
        <w:t xml:space="preserve"> </w:t>
      </w:r>
    </w:p>
    <w:p w:rsidR="00CD7C40" w:rsidRPr="00BA7D7D" w:rsidRDefault="00CD7C40" w:rsidP="00CD7C40">
      <w:pPr>
        <w:pStyle w:val="Heading2"/>
      </w:pPr>
      <w:r w:rsidRPr="00BA7D7D">
        <w:t>Introduction</w:t>
      </w:r>
    </w:p>
    <w:p w:rsidR="00CD7C40" w:rsidRPr="00BA7D7D" w:rsidRDefault="00A7264A" w:rsidP="00CD7C40">
      <w:r w:rsidRPr="00A7264A">
        <w:t xml:space="preserve">It had been known before the 1920s that alumina could be extracted from alkaline earth aluminates, a fact that could potentially lead to the exploitation of various low grade ores of aluminium (i.e., low grade bauxites, </w:t>
      </w:r>
      <w:r w:rsidR="00C4618E">
        <w:t xml:space="preserve">clays, etc.). </w:t>
      </w:r>
      <w:r w:rsidRPr="00A7264A">
        <w:t>Around that time, Norwegian Professor Harald Pedersen was doing extensive work on leaching slags of calcium aluminate composition, produced by melting bauxite, iron ore, lime and coke in electric furnace.</w:t>
      </w:r>
      <w:r w:rsidRPr="00A7264A">
        <w:rPr>
          <w:vertAlign w:val="superscript"/>
          <w:lang w:val="en-US"/>
        </w:rPr>
        <w:t xml:space="preserve"> 1</w:t>
      </w:r>
      <w:r w:rsidRPr="00A7264A">
        <w:t xml:space="preserve"> The results of these experiments were formulated in what is now known as “The Pedersen Process” for the production of alumina, which found industrial application in Norway from 1928 to 1969</w:t>
      </w:r>
      <w:r w:rsidR="00A25B59">
        <w:t>,</w:t>
      </w:r>
      <w:r w:rsidRPr="00A7264A">
        <w:t xml:space="preserve"> with an annual production of </w:t>
      </w:r>
      <w:r w:rsidRPr="00A7264A">
        <w:lastRenderedPageBreak/>
        <w:t>17,000 metric tons of alumina.</w:t>
      </w:r>
      <w:r w:rsidRPr="00A7264A">
        <w:rPr>
          <w:vertAlign w:val="superscript"/>
          <w:lang w:val="en-US"/>
        </w:rPr>
        <w:t>2</w:t>
      </w:r>
      <w:r w:rsidR="0018170A">
        <w:t xml:space="preserve"> </w:t>
      </w:r>
      <w:proofErr w:type="gramStart"/>
      <w:r w:rsidR="0018170A">
        <w:t>The</w:t>
      </w:r>
      <w:proofErr w:type="gramEnd"/>
      <w:r w:rsidR="0018170A">
        <w:t xml:space="preserve"> </w:t>
      </w:r>
      <w:r w:rsidRPr="00A7264A">
        <w:t>main product of t</w:t>
      </w:r>
      <w:r w:rsidR="00050577">
        <w:t xml:space="preserve">he Pedersen Process is </w:t>
      </w:r>
      <w:r w:rsidRPr="00A7264A">
        <w:t>alumina. Nevertheless, of equa</w:t>
      </w:r>
      <w:r w:rsidR="00DF3E4A">
        <w:t>l importance are the by-product</w:t>
      </w:r>
      <w:r w:rsidRPr="00A7264A">
        <w:t xml:space="preserve"> of the leaching circuit, the soli</w:t>
      </w:r>
      <w:r w:rsidR="00DF3E4A">
        <w:t>d residue of the leached slag,</w:t>
      </w:r>
      <w:r w:rsidRPr="00A7264A">
        <w:t xml:space="preserve"> called Grey Mud. It is stripped off all </w:t>
      </w:r>
      <w:r w:rsidR="00A25B59">
        <w:t>Fe-</w:t>
      </w:r>
      <w:r w:rsidRPr="00A7264A">
        <w:t xml:space="preserve">oxides and </w:t>
      </w:r>
      <w:r w:rsidR="00A25B59">
        <w:t xml:space="preserve">is </w:t>
      </w:r>
      <w:r w:rsidRPr="00A7264A">
        <w:t>of low alkalinity</w:t>
      </w:r>
      <w:r w:rsidR="00BF7A85">
        <w:t>.</w:t>
      </w:r>
      <w:r w:rsidRPr="00A7264A">
        <w:t xml:space="preserve"> </w:t>
      </w:r>
      <w:r w:rsidR="00BF7A85">
        <w:t>T</w:t>
      </w:r>
      <w:r w:rsidRPr="00A7264A">
        <w:t xml:space="preserve">hus </w:t>
      </w:r>
      <w:r w:rsidR="00BF7A85">
        <w:t xml:space="preserve">it </w:t>
      </w:r>
      <w:r w:rsidRPr="00A7264A">
        <w:t>constitutes a by-product with many potential uses</w:t>
      </w:r>
      <w:r w:rsidR="00C4618E">
        <w:t>.</w:t>
      </w:r>
      <w:r w:rsidRPr="00A7264A">
        <w:t xml:space="preserve"> </w:t>
      </w:r>
      <w:r w:rsidR="00A25B59">
        <w:t xml:space="preserve">The </w:t>
      </w:r>
      <w:r w:rsidRPr="00A7264A">
        <w:t>Pedersen Process presents the potential for holistic utilization of bauxite with a corresponding elimination of the Red Mud production issue. The ENSUREAL Project aims at revisiting the Pedersen Process and assess its potential implementation in the 21</w:t>
      </w:r>
      <w:r w:rsidRPr="00A7264A">
        <w:rPr>
          <w:vertAlign w:val="superscript"/>
        </w:rPr>
        <w:t>st</w:t>
      </w:r>
      <w:r w:rsidRPr="00A7264A">
        <w:t xml:space="preserve"> century. </w:t>
      </w:r>
    </w:p>
    <w:p w:rsidR="00CD7C40" w:rsidRPr="00BA7D7D" w:rsidRDefault="00A7264A" w:rsidP="00CD7C40">
      <w:pPr>
        <w:pStyle w:val="Heading2"/>
      </w:pPr>
      <w:r w:rsidRPr="00A7264A">
        <w:t>Grey Mud Production in the Pedersen Process</w:t>
      </w:r>
    </w:p>
    <w:p w:rsidR="00CD7C40" w:rsidRDefault="00A7264A" w:rsidP="00CD7C40">
      <w:r w:rsidRPr="00A7264A">
        <w:t>A flowsheet of the Pedersen Process is presented in Figure 1. Raw materials for the leaching circuit are, the calcium aluminate slag, originating from the smelting stage and a dilute sodium carbonate solution, introduced as the leaching solution. On the whole, during the leaching stage, the calcium aluminate compounds of the slag react with the sodium carbonate in solution to form soluble sodium aluminate and a solid calcium carbonate precipitate. The latter, along with the non-soluble constituents of the slag, form the leaching residue, i.e. the Grey Mud.</w:t>
      </w:r>
      <w:r w:rsidRPr="00A7264A">
        <w:rPr>
          <w:vertAlign w:val="superscript"/>
        </w:rPr>
        <w:t>3</w:t>
      </w:r>
      <w:r w:rsidRPr="00A7264A">
        <w:t xml:space="preserve"> </w:t>
      </w:r>
    </w:p>
    <w:p w:rsidR="00C4618E" w:rsidRDefault="00C4618E" w:rsidP="00CD7C40"/>
    <w:p w:rsidR="00C4618E" w:rsidRPr="00BA7D7D" w:rsidRDefault="00340243" w:rsidP="00C4618E">
      <w:pPr>
        <w:jc w:val="center"/>
      </w:pPr>
      <w:r w:rsidRPr="00C4618E">
        <w:rPr>
          <w:noProof/>
          <w:lang w:val="en-US" w:eastAsia="en-US"/>
        </w:rPr>
        <w:drawing>
          <wp:inline distT="0" distB="0" distL="0" distR="0">
            <wp:extent cx="2837180" cy="3336925"/>
            <wp:effectExtent l="0" t="0" r="127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7180" cy="3336925"/>
                    </a:xfrm>
                    <a:prstGeom prst="rect">
                      <a:avLst/>
                    </a:prstGeom>
                    <a:noFill/>
                    <a:ln>
                      <a:noFill/>
                    </a:ln>
                  </pic:spPr>
                </pic:pic>
              </a:graphicData>
            </a:graphic>
          </wp:inline>
        </w:drawing>
      </w:r>
    </w:p>
    <w:p w:rsidR="00C4618E" w:rsidRDefault="00C4618E" w:rsidP="00C4618E">
      <w:pPr>
        <w:jc w:val="center"/>
      </w:pPr>
      <w:r>
        <w:rPr>
          <w:b/>
        </w:rPr>
        <w:t>Figure 1</w:t>
      </w:r>
      <w:r w:rsidRPr="00E27D22">
        <w:rPr>
          <w:b/>
        </w:rPr>
        <w:t>:</w:t>
      </w:r>
      <w:r w:rsidRPr="00BA7D7D">
        <w:t xml:space="preserve"> </w:t>
      </w:r>
      <w:r>
        <w:t>F</w:t>
      </w:r>
      <w:r w:rsidRPr="00C4618E">
        <w:t xml:space="preserve">lowsheet of the Pedersen process (after </w:t>
      </w:r>
      <w:proofErr w:type="spellStart"/>
      <w:r w:rsidRPr="00C4618E">
        <w:t>Safarian</w:t>
      </w:r>
      <w:proofErr w:type="spellEnd"/>
      <w:r w:rsidRPr="00C4618E">
        <w:t xml:space="preserve"> &amp; </w:t>
      </w:r>
      <w:proofErr w:type="spellStart"/>
      <w:r w:rsidRPr="00C4618E">
        <w:t>Kolbeinsen</w:t>
      </w:r>
      <w:proofErr w:type="spellEnd"/>
      <w:r w:rsidRPr="00C4618E">
        <w:t>, 2016).</w:t>
      </w:r>
    </w:p>
    <w:p w:rsidR="00DF3E4A" w:rsidRDefault="00DF3E4A" w:rsidP="00DF3E4A"/>
    <w:p w:rsidR="00100AF9" w:rsidRDefault="00DF3E4A" w:rsidP="00100AF9">
      <w:r w:rsidRPr="00A7264A">
        <w:t xml:space="preserve">Therefore, the original composition of the slag and the </w:t>
      </w:r>
      <w:r>
        <w:t>modelling of</w:t>
      </w:r>
      <w:r w:rsidRPr="00A7264A">
        <w:t xml:space="preserve"> the leaching process are the main factors affecting the properties of the Grey Mud produced. </w:t>
      </w:r>
    </w:p>
    <w:p w:rsidR="00BE0A05" w:rsidRDefault="00BE0A05" w:rsidP="00100AF9"/>
    <w:p w:rsidR="00CD7C40" w:rsidRPr="00A7264A" w:rsidRDefault="00A7264A" w:rsidP="00100AF9">
      <w:pPr>
        <w:pStyle w:val="Heading2"/>
      </w:pPr>
      <w:r w:rsidRPr="00A7264A">
        <w:lastRenderedPageBreak/>
        <w:t>Calcium Aluminate Slag Influence</w:t>
      </w:r>
    </w:p>
    <w:p w:rsidR="00A7264A" w:rsidRDefault="00A7264A" w:rsidP="00A7264A">
      <w:r w:rsidRPr="00F675B0">
        <w:t>Modellin</w:t>
      </w:r>
      <w:r w:rsidR="001676E3">
        <w:t>g the mineralogical composition</w:t>
      </w:r>
      <w:r w:rsidRPr="00F675B0">
        <w:t xml:space="preserve"> of the slag produced during the smelting </w:t>
      </w:r>
      <w:r w:rsidR="001676E3">
        <w:t>stage</w:t>
      </w:r>
      <w:r w:rsidRPr="00F675B0">
        <w:t xml:space="preserve"> is one of the most challenging aspects of the Pedersen Process, as a typical bauxite contains</w:t>
      </w:r>
      <w:r>
        <w:t xml:space="preserve"> </w:t>
      </w:r>
      <w:r w:rsidR="00050577" w:rsidRPr="00050577">
        <w:t>several compounds, most of them are minerals</w:t>
      </w:r>
      <w:proofErr w:type="gramStart"/>
      <w:r w:rsidR="00050577" w:rsidRPr="00050577">
        <w:t>,</w:t>
      </w:r>
      <w:r w:rsidR="001676E3">
        <w:t>.</w:t>
      </w:r>
      <w:proofErr w:type="gramEnd"/>
      <w:r w:rsidR="001676E3">
        <w:t xml:space="preserve"> </w:t>
      </w:r>
      <w:r w:rsidRPr="00F675B0">
        <w:t xml:space="preserve">During smelting </w:t>
      </w:r>
      <w:r w:rsidR="001676E3">
        <w:t>virtually all of the Fe-</w:t>
      </w:r>
      <w:r w:rsidRPr="00F675B0">
        <w:t>content of the bauxite is reduced to metallic iron. Lime is added to the furnace mix essentially for the formation of calcium aluminates, silicates and titanates, which constitute the main slag phases. In any case, the dominant oxides in the slag phase are Al</w:t>
      </w:r>
      <w:r w:rsidRPr="00F675B0">
        <w:rPr>
          <w:vertAlign w:val="subscript"/>
        </w:rPr>
        <w:t>2</w:t>
      </w:r>
      <w:r w:rsidRPr="00F675B0">
        <w:t>O</w:t>
      </w:r>
      <w:r w:rsidRPr="00F675B0">
        <w:rPr>
          <w:vertAlign w:val="subscript"/>
        </w:rPr>
        <w:t>3</w:t>
      </w:r>
      <w:r w:rsidRPr="00F675B0">
        <w:t>, CaO and SiO</w:t>
      </w:r>
      <w:r w:rsidRPr="00F675B0">
        <w:rPr>
          <w:vertAlign w:val="subscript"/>
        </w:rPr>
        <w:t>2</w:t>
      </w:r>
      <w:r w:rsidRPr="00F675B0">
        <w:t>.</w:t>
      </w:r>
      <w:r w:rsidR="0018170A">
        <w:t xml:space="preserve"> </w:t>
      </w:r>
      <w:r w:rsidRPr="00F675B0">
        <w:t>On the assumption that TiO</w:t>
      </w:r>
      <w:r w:rsidRPr="00F675B0">
        <w:rPr>
          <w:vertAlign w:val="subscript"/>
        </w:rPr>
        <w:t>2</w:t>
      </w:r>
      <w:r w:rsidRPr="00F675B0">
        <w:t xml:space="preserve"> reacts with lime to form calcium titanate (CaO∙TiO</w:t>
      </w:r>
      <w:r w:rsidRPr="00F675B0">
        <w:rPr>
          <w:vertAlign w:val="subscript"/>
        </w:rPr>
        <w:t>2</w:t>
      </w:r>
      <w:r w:rsidRPr="00F675B0">
        <w:t>) and the small amounts of this compound have a minor effect on the phase boundaries in the phase diagram for the SiO</w:t>
      </w:r>
      <w:r w:rsidRPr="00F675B0">
        <w:rPr>
          <w:vertAlign w:val="subscript"/>
        </w:rPr>
        <w:t>2</w:t>
      </w:r>
      <w:r w:rsidR="0018170A">
        <w:t>-</w:t>
      </w:r>
      <w:r w:rsidRPr="00F675B0">
        <w:t>CaO</w:t>
      </w:r>
      <w:r w:rsidR="0018170A">
        <w:t>-</w:t>
      </w:r>
      <w:r w:rsidRPr="00F675B0">
        <w:t>Al</w:t>
      </w:r>
      <w:r w:rsidRPr="00F675B0">
        <w:rPr>
          <w:vertAlign w:val="subscript"/>
        </w:rPr>
        <w:t>2</w:t>
      </w:r>
      <w:r w:rsidRPr="00F675B0">
        <w:t>O</w:t>
      </w:r>
      <w:r w:rsidRPr="00F675B0">
        <w:rPr>
          <w:vertAlign w:val="subscript"/>
        </w:rPr>
        <w:t>3</w:t>
      </w:r>
      <w:r w:rsidRPr="00F675B0">
        <w:t xml:space="preserve"> system, then, upon equilibrium cooling, the cross-hatched area shown in Figure </w:t>
      </w:r>
      <w:r>
        <w:t>2</w:t>
      </w:r>
      <w:r w:rsidRPr="00F675B0">
        <w:t xml:space="preserve"> should contain the compositions that produce the leachable calcium aluminates CaO∙Al</w:t>
      </w:r>
      <w:r w:rsidRPr="00F675B0">
        <w:rPr>
          <w:vertAlign w:val="subscript"/>
        </w:rPr>
        <w:t>2</w:t>
      </w:r>
      <w:r w:rsidRPr="00F675B0">
        <w:t>O</w:t>
      </w:r>
      <w:r w:rsidRPr="00F675B0">
        <w:rPr>
          <w:vertAlign w:val="subscript"/>
        </w:rPr>
        <w:t>3</w:t>
      </w:r>
      <w:r w:rsidRPr="00F675B0">
        <w:t xml:space="preserve"> and 12CaO∙7Al</w:t>
      </w:r>
      <w:r w:rsidRPr="00F675B0">
        <w:rPr>
          <w:vertAlign w:val="subscript"/>
        </w:rPr>
        <w:t>2</w:t>
      </w:r>
      <w:r w:rsidRPr="00F675B0">
        <w:t>O</w:t>
      </w:r>
      <w:r w:rsidRPr="00F675B0">
        <w:rPr>
          <w:vertAlign w:val="subscript"/>
        </w:rPr>
        <w:t>3</w:t>
      </w:r>
      <w:r w:rsidRPr="00F675B0">
        <w:t xml:space="preserve">. </w:t>
      </w:r>
    </w:p>
    <w:p w:rsidR="00C4618E" w:rsidRDefault="00C4618E" w:rsidP="00A7264A"/>
    <w:p w:rsidR="00C4618E" w:rsidRDefault="00340243" w:rsidP="00C4618E">
      <w:pPr>
        <w:jc w:val="center"/>
      </w:pPr>
      <w:r w:rsidRPr="00C4618E">
        <w:rPr>
          <w:noProof/>
          <w:lang w:val="en-US" w:eastAsia="en-US"/>
        </w:rPr>
        <w:drawing>
          <wp:inline distT="0" distB="0" distL="0" distR="0">
            <wp:extent cx="3884295" cy="2766695"/>
            <wp:effectExtent l="19050" t="19050" r="20955" b="14605"/>
            <wp:docPr id="2" name="Picture 1" descr="C:\Users\Michalis Vafeias\Desktop\tern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is Vafeias\Desktop\ternar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4295" cy="2766695"/>
                    </a:xfrm>
                    <a:prstGeom prst="rect">
                      <a:avLst/>
                    </a:prstGeom>
                    <a:noFill/>
                    <a:ln w="9525" cmpd="sng">
                      <a:solidFill>
                        <a:srgbClr val="000000"/>
                      </a:solidFill>
                      <a:miter lim="800000"/>
                      <a:headEnd/>
                      <a:tailEnd/>
                    </a:ln>
                    <a:effectLst/>
                  </pic:spPr>
                </pic:pic>
              </a:graphicData>
            </a:graphic>
          </wp:inline>
        </w:drawing>
      </w:r>
    </w:p>
    <w:p w:rsidR="00C4618E" w:rsidRDefault="00C4618E" w:rsidP="00C4618E">
      <w:pPr>
        <w:jc w:val="center"/>
      </w:pPr>
      <w:r>
        <w:rPr>
          <w:b/>
        </w:rPr>
        <w:t>Figure 2</w:t>
      </w:r>
      <w:r w:rsidRPr="00E27D22">
        <w:rPr>
          <w:b/>
        </w:rPr>
        <w:t>:</w:t>
      </w:r>
      <w:r w:rsidRPr="00BA7D7D">
        <w:t xml:space="preserve"> </w:t>
      </w:r>
      <w:r w:rsidRPr="00C4618E">
        <w:t>SiO</w:t>
      </w:r>
      <w:r w:rsidRPr="00C4618E">
        <w:rPr>
          <w:vertAlign w:val="subscript"/>
        </w:rPr>
        <w:t>2</w:t>
      </w:r>
      <w:r w:rsidR="0018170A">
        <w:t>-</w:t>
      </w:r>
      <w:r w:rsidRPr="00C4618E">
        <w:t>CaO</w:t>
      </w:r>
      <w:r w:rsidR="0018170A">
        <w:t>-</w:t>
      </w:r>
      <w:r w:rsidRPr="00C4618E">
        <w:t>Al</w:t>
      </w:r>
      <w:r w:rsidRPr="00C4618E">
        <w:rPr>
          <w:vertAlign w:val="subscript"/>
        </w:rPr>
        <w:t>2</w:t>
      </w:r>
      <w:r w:rsidRPr="00C4618E">
        <w:t>O</w:t>
      </w:r>
      <w:r w:rsidRPr="00C4618E">
        <w:rPr>
          <w:vertAlign w:val="subscript"/>
        </w:rPr>
        <w:t>3</w:t>
      </w:r>
      <w:r w:rsidRPr="00C4618E">
        <w:t xml:space="preserve"> </w:t>
      </w:r>
      <w:r w:rsidR="00FB0DA6">
        <w:t>p</w:t>
      </w:r>
      <w:r w:rsidR="00FB0DA6" w:rsidRPr="00C4618E">
        <w:t xml:space="preserve">hase diagram </w:t>
      </w:r>
      <w:r w:rsidR="00FB0DA6">
        <w:t>with desired</w:t>
      </w:r>
      <w:r w:rsidRPr="00C4618E">
        <w:t xml:space="preserve"> slag compositions.</w:t>
      </w:r>
    </w:p>
    <w:p w:rsidR="00C4618E" w:rsidRDefault="00C4618E" w:rsidP="00FB0DA6"/>
    <w:p w:rsidR="00100AF9" w:rsidRDefault="00A7264A" w:rsidP="001676E3">
      <w:r w:rsidRPr="00F675B0">
        <w:t xml:space="preserve">Besides </w:t>
      </w:r>
      <w:r w:rsidR="004E55A3">
        <w:t xml:space="preserve">for </w:t>
      </w:r>
      <w:r w:rsidRPr="00F675B0">
        <w:t>obtaining the most favourable calcium aluminates in terms of leachability, modelling the slag composition is important for one more reason. It is desirable for the silica content of the slag to be obtained in the form of th</w:t>
      </w:r>
      <w:r w:rsidR="001676E3">
        <w:t>e dicalcium silicate phase (</w:t>
      </w:r>
      <w:r w:rsidRPr="00F675B0">
        <w:t>2CaO∙SiO</w:t>
      </w:r>
      <w:r w:rsidRPr="00F675B0">
        <w:rPr>
          <w:vertAlign w:val="subscript"/>
        </w:rPr>
        <w:t>2</w:t>
      </w:r>
      <w:r w:rsidR="001676E3">
        <w:t>)</w:t>
      </w:r>
      <w:r w:rsidRPr="00F675B0">
        <w:t xml:space="preserve">. There are two reasons for this. </w:t>
      </w:r>
    </w:p>
    <w:p w:rsidR="00100AF9" w:rsidRDefault="00100AF9" w:rsidP="001676E3"/>
    <w:p w:rsidR="00100AF9" w:rsidRPr="00BA7D7D" w:rsidRDefault="00100AF9" w:rsidP="00100AF9">
      <w:pPr>
        <w:jc w:val="center"/>
      </w:pPr>
      <w:r w:rsidRPr="00660A85">
        <w:rPr>
          <w:b/>
        </w:rPr>
        <w:t>Table 1:</w:t>
      </w:r>
      <w:r w:rsidRPr="00BA7D7D">
        <w:t xml:space="preserve"> </w:t>
      </w:r>
      <w:r w:rsidRPr="006C3E47">
        <w:rPr>
          <w:rFonts w:eastAsia="Calibri" w:cs="Times New Roman"/>
          <w:sz w:val="22"/>
          <w:lang w:eastAsia="en-US"/>
        </w:rPr>
        <w:t>Bauxite constituents and corresponding desirable products in the smelting stage.</w:t>
      </w:r>
    </w:p>
    <w:p w:rsidR="00100AF9" w:rsidRPr="00BA7D7D" w:rsidRDefault="00100AF9" w:rsidP="00100AF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3"/>
        <w:gridCol w:w="2916"/>
        <w:gridCol w:w="1545"/>
        <w:gridCol w:w="1701"/>
      </w:tblGrid>
      <w:tr w:rsidR="00100AF9" w:rsidRPr="00F675B0" w:rsidTr="00100AF9">
        <w:trPr>
          <w:jc w:val="center"/>
        </w:trPr>
        <w:tc>
          <w:tcPr>
            <w:tcW w:w="2208" w:type="dxa"/>
            <w:shd w:val="clear" w:color="auto" w:fill="auto"/>
            <w:vAlign w:val="center"/>
          </w:tcPr>
          <w:p w:rsidR="00100AF9" w:rsidRPr="003F03E1" w:rsidRDefault="00100AF9" w:rsidP="00605ED2">
            <w:pPr>
              <w:jc w:val="center"/>
            </w:pPr>
            <w:r w:rsidRPr="003F03E1">
              <w:t>Bauxite Compound</w:t>
            </w:r>
          </w:p>
        </w:tc>
        <w:tc>
          <w:tcPr>
            <w:tcW w:w="3004" w:type="dxa"/>
            <w:shd w:val="clear" w:color="auto" w:fill="auto"/>
            <w:vAlign w:val="center"/>
          </w:tcPr>
          <w:p w:rsidR="00100AF9" w:rsidRPr="003F03E1" w:rsidRDefault="00100AF9" w:rsidP="00605ED2">
            <w:pPr>
              <w:jc w:val="center"/>
            </w:pPr>
            <w:r w:rsidRPr="003F03E1">
              <w:t>Desirable Compound after Smelting</w:t>
            </w:r>
          </w:p>
        </w:tc>
        <w:tc>
          <w:tcPr>
            <w:tcW w:w="1581" w:type="dxa"/>
            <w:shd w:val="clear" w:color="auto" w:fill="auto"/>
            <w:vAlign w:val="center"/>
          </w:tcPr>
          <w:p w:rsidR="00100AF9" w:rsidRPr="003F03E1" w:rsidRDefault="00100AF9" w:rsidP="00605ED2">
            <w:pPr>
              <w:jc w:val="center"/>
            </w:pPr>
            <w:r w:rsidRPr="003F03E1">
              <w:t>Furnace Phase</w:t>
            </w:r>
          </w:p>
        </w:tc>
        <w:tc>
          <w:tcPr>
            <w:tcW w:w="1758" w:type="dxa"/>
            <w:shd w:val="clear" w:color="auto" w:fill="auto"/>
            <w:vAlign w:val="center"/>
          </w:tcPr>
          <w:p w:rsidR="00100AF9" w:rsidRPr="003F03E1" w:rsidRDefault="00100AF9" w:rsidP="00605ED2">
            <w:pPr>
              <w:jc w:val="center"/>
            </w:pPr>
            <w:r>
              <w:t>Found in Grey Mud</w:t>
            </w:r>
          </w:p>
        </w:tc>
      </w:tr>
      <w:tr w:rsidR="00100AF9" w:rsidRPr="00F675B0" w:rsidTr="00100AF9">
        <w:trPr>
          <w:jc w:val="center"/>
        </w:trPr>
        <w:tc>
          <w:tcPr>
            <w:tcW w:w="2208" w:type="dxa"/>
            <w:shd w:val="clear" w:color="auto" w:fill="auto"/>
            <w:vAlign w:val="center"/>
          </w:tcPr>
          <w:p w:rsidR="00100AF9" w:rsidRPr="00F675B0" w:rsidRDefault="00100AF9" w:rsidP="00605ED2">
            <w:pPr>
              <w:jc w:val="center"/>
            </w:pPr>
            <w:r w:rsidRPr="00F675B0">
              <w:t>Fe</w:t>
            </w:r>
            <w:r w:rsidRPr="00403ED7">
              <w:rPr>
                <w:vertAlign w:val="subscript"/>
              </w:rPr>
              <w:t>2</w:t>
            </w:r>
            <w:r w:rsidRPr="00F675B0">
              <w:t>O</w:t>
            </w:r>
            <w:r w:rsidRPr="00403ED7">
              <w:rPr>
                <w:vertAlign w:val="subscript"/>
              </w:rPr>
              <w:t>3</w:t>
            </w:r>
          </w:p>
        </w:tc>
        <w:tc>
          <w:tcPr>
            <w:tcW w:w="3004" w:type="dxa"/>
            <w:shd w:val="clear" w:color="auto" w:fill="auto"/>
            <w:vAlign w:val="center"/>
          </w:tcPr>
          <w:p w:rsidR="00100AF9" w:rsidRPr="00F675B0" w:rsidRDefault="00100AF9" w:rsidP="00605ED2">
            <w:pPr>
              <w:jc w:val="center"/>
            </w:pPr>
            <w:r w:rsidRPr="00F675B0">
              <w:t>Metallic Fe</w:t>
            </w:r>
          </w:p>
        </w:tc>
        <w:tc>
          <w:tcPr>
            <w:tcW w:w="1581" w:type="dxa"/>
            <w:shd w:val="clear" w:color="auto" w:fill="auto"/>
            <w:vAlign w:val="center"/>
          </w:tcPr>
          <w:p w:rsidR="00100AF9" w:rsidRPr="00F675B0" w:rsidRDefault="00100AF9" w:rsidP="00605ED2">
            <w:pPr>
              <w:jc w:val="center"/>
            </w:pPr>
            <w:r w:rsidRPr="00F675B0">
              <w:t>Pig Iron</w:t>
            </w:r>
          </w:p>
        </w:tc>
        <w:tc>
          <w:tcPr>
            <w:tcW w:w="1758" w:type="dxa"/>
            <w:shd w:val="clear" w:color="auto" w:fill="auto"/>
            <w:vAlign w:val="center"/>
          </w:tcPr>
          <w:p w:rsidR="00100AF9" w:rsidRPr="00F675B0" w:rsidRDefault="00100AF9" w:rsidP="00605ED2">
            <w:pPr>
              <w:jc w:val="center"/>
            </w:pPr>
            <w:r w:rsidRPr="00F675B0">
              <w:t>No</w:t>
            </w:r>
          </w:p>
        </w:tc>
      </w:tr>
      <w:tr w:rsidR="00100AF9" w:rsidRPr="00F675B0" w:rsidTr="00100AF9">
        <w:trPr>
          <w:jc w:val="center"/>
        </w:trPr>
        <w:tc>
          <w:tcPr>
            <w:tcW w:w="2208" w:type="dxa"/>
            <w:shd w:val="clear" w:color="auto" w:fill="auto"/>
            <w:vAlign w:val="center"/>
          </w:tcPr>
          <w:p w:rsidR="00100AF9" w:rsidRPr="00F675B0" w:rsidRDefault="00100AF9" w:rsidP="00605ED2">
            <w:pPr>
              <w:jc w:val="center"/>
            </w:pPr>
            <w:r w:rsidRPr="00F675B0">
              <w:lastRenderedPageBreak/>
              <w:t>Al</w:t>
            </w:r>
            <w:r w:rsidRPr="00403ED7">
              <w:rPr>
                <w:vertAlign w:val="subscript"/>
              </w:rPr>
              <w:t>2</w:t>
            </w:r>
            <w:r w:rsidRPr="00F675B0">
              <w:t>O</w:t>
            </w:r>
            <w:r w:rsidRPr="00403ED7">
              <w:rPr>
                <w:vertAlign w:val="subscript"/>
              </w:rPr>
              <w:t>3</w:t>
            </w:r>
          </w:p>
        </w:tc>
        <w:tc>
          <w:tcPr>
            <w:tcW w:w="3004" w:type="dxa"/>
            <w:shd w:val="clear" w:color="auto" w:fill="auto"/>
            <w:vAlign w:val="center"/>
          </w:tcPr>
          <w:p w:rsidR="00100AF9" w:rsidRPr="00F675B0" w:rsidRDefault="00100AF9" w:rsidP="00605ED2">
            <w:pPr>
              <w:jc w:val="center"/>
            </w:pPr>
            <w:r w:rsidRPr="00F675B0">
              <w:t>CaO∙Al</w:t>
            </w:r>
            <w:r w:rsidRPr="00403ED7">
              <w:rPr>
                <w:vertAlign w:val="subscript"/>
              </w:rPr>
              <w:t>2</w:t>
            </w:r>
            <w:r w:rsidRPr="00F675B0">
              <w:t>O</w:t>
            </w:r>
            <w:r w:rsidRPr="00403ED7">
              <w:rPr>
                <w:vertAlign w:val="subscript"/>
              </w:rPr>
              <w:t>3</w:t>
            </w:r>
            <w:r w:rsidRPr="00F675B0">
              <w:t>, 12CaO∙7Al</w:t>
            </w:r>
            <w:r w:rsidRPr="00403ED7">
              <w:rPr>
                <w:vertAlign w:val="subscript"/>
              </w:rPr>
              <w:t>2</w:t>
            </w:r>
            <w:r w:rsidRPr="00F675B0">
              <w:t>O</w:t>
            </w:r>
            <w:r w:rsidRPr="00403ED7">
              <w:rPr>
                <w:vertAlign w:val="subscript"/>
              </w:rPr>
              <w:t>3</w:t>
            </w:r>
          </w:p>
        </w:tc>
        <w:tc>
          <w:tcPr>
            <w:tcW w:w="1581" w:type="dxa"/>
            <w:shd w:val="clear" w:color="auto" w:fill="auto"/>
            <w:vAlign w:val="center"/>
          </w:tcPr>
          <w:p w:rsidR="00100AF9" w:rsidRPr="00F675B0" w:rsidRDefault="00100AF9" w:rsidP="00605ED2">
            <w:pPr>
              <w:jc w:val="center"/>
            </w:pPr>
            <w:r w:rsidRPr="00F675B0">
              <w:t>Slag</w:t>
            </w:r>
          </w:p>
        </w:tc>
        <w:tc>
          <w:tcPr>
            <w:tcW w:w="1758" w:type="dxa"/>
            <w:shd w:val="clear" w:color="auto" w:fill="auto"/>
            <w:vAlign w:val="center"/>
          </w:tcPr>
          <w:p w:rsidR="00100AF9" w:rsidRPr="00F675B0" w:rsidRDefault="00100AF9" w:rsidP="00605ED2">
            <w:pPr>
              <w:jc w:val="center"/>
            </w:pPr>
            <w:r w:rsidRPr="00F675B0">
              <w:t>No</w:t>
            </w:r>
          </w:p>
        </w:tc>
      </w:tr>
      <w:tr w:rsidR="00100AF9" w:rsidRPr="00F675B0" w:rsidTr="00100AF9">
        <w:trPr>
          <w:jc w:val="center"/>
        </w:trPr>
        <w:tc>
          <w:tcPr>
            <w:tcW w:w="2208" w:type="dxa"/>
            <w:shd w:val="clear" w:color="auto" w:fill="auto"/>
            <w:vAlign w:val="center"/>
          </w:tcPr>
          <w:p w:rsidR="00100AF9" w:rsidRPr="00F675B0" w:rsidRDefault="00100AF9" w:rsidP="00605ED2">
            <w:pPr>
              <w:jc w:val="center"/>
            </w:pPr>
            <w:r w:rsidRPr="00F675B0">
              <w:t>SiO</w:t>
            </w:r>
            <w:r w:rsidRPr="00403ED7">
              <w:rPr>
                <w:vertAlign w:val="subscript"/>
              </w:rPr>
              <w:t>2</w:t>
            </w:r>
          </w:p>
        </w:tc>
        <w:tc>
          <w:tcPr>
            <w:tcW w:w="3004" w:type="dxa"/>
            <w:shd w:val="clear" w:color="auto" w:fill="auto"/>
            <w:vAlign w:val="center"/>
          </w:tcPr>
          <w:p w:rsidR="00100AF9" w:rsidRPr="00F675B0" w:rsidRDefault="00100AF9" w:rsidP="00605ED2">
            <w:pPr>
              <w:jc w:val="center"/>
            </w:pPr>
            <w:r w:rsidRPr="00F675B0">
              <w:t>2CaO∙SiO</w:t>
            </w:r>
            <w:r w:rsidRPr="00403ED7">
              <w:rPr>
                <w:vertAlign w:val="subscript"/>
              </w:rPr>
              <w:t>2</w:t>
            </w:r>
          </w:p>
        </w:tc>
        <w:tc>
          <w:tcPr>
            <w:tcW w:w="1581" w:type="dxa"/>
            <w:shd w:val="clear" w:color="auto" w:fill="auto"/>
            <w:vAlign w:val="center"/>
          </w:tcPr>
          <w:p w:rsidR="00100AF9" w:rsidRPr="00F675B0" w:rsidRDefault="00100AF9" w:rsidP="00605ED2">
            <w:pPr>
              <w:jc w:val="center"/>
            </w:pPr>
            <w:r w:rsidRPr="00F675B0">
              <w:t>Slag</w:t>
            </w:r>
          </w:p>
        </w:tc>
        <w:tc>
          <w:tcPr>
            <w:tcW w:w="1758" w:type="dxa"/>
            <w:shd w:val="clear" w:color="auto" w:fill="auto"/>
            <w:vAlign w:val="center"/>
          </w:tcPr>
          <w:p w:rsidR="00100AF9" w:rsidRPr="00F675B0" w:rsidRDefault="00100AF9" w:rsidP="00605ED2">
            <w:pPr>
              <w:jc w:val="center"/>
            </w:pPr>
            <w:r w:rsidRPr="00F675B0">
              <w:t>No</w:t>
            </w:r>
          </w:p>
        </w:tc>
      </w:tr>
      <w:tr w:rsidR="00100AF9" w:rsidRPr="00F675B0" w:rsidTr="00100AF9">
        <w:trPr>
          <w:trHeight w:val="135"/>
          <w:jc w:val="center"/>
        </w:trPr>
        <w:tc>
          <w:tcPr>
            <w:tcW w:w="2208" w:type="dxa"/>
            <w:shd w:val="clear" w:color="auto" w:fill="auto"/>
            <w:vAlign w:val="center"/>
          </w:tcPr>
          <w:p w:rsidR="00100AF9" w:rsidRPr="00F675B0" w:rsidRDefault="00100AF9" w:rsidP="00605ED2">
            <w:pPr>
              <w:jc w:val="center"/>
            </w:pPr>
            <w:r w:rsidRPr="00F675B0">
              <w:t>TiO</w:t>
            </w:r>
            <w:r w:rsidRPr="00403ED7">
              <w:rPr>
                <w:vertAlign w:val="subscript"/>
              </w:rPr>
              <w:t>2</w:t>
            </w:r>
          </w:p>
        </w:tc>
        <w:tc>
          <w:tcPr>
            <w:tcW w:w="3004" w:type="dxa"/>
            <w:shd w:val="clear" w:color="auto" w:fill="auto"/>
            <w:vAlign w:val="center"/>
          </w:tcPr>
          <w:p w:rsidR="00100AF9" w:rsidRPr="00F675B0" w:rsidRDefault="00100AF9" w:rsidP="00605ED2">
            <w:pPr>
              <w:jc w:val="center"/>
            </w:pPr>
            <w:r w:rsidRPr="00F675B0">
              <w:t>CaO∙TiO</w:t>
            </w:r>
            <w:r w:rsidRPr="00403ED7">
              <w:rPr>
                <w:vertAlign w:val="subscript"/>
              </w:rPr>
              <w:t>2</w:t>
            </w:r>
          </w:p>
        </w:tc>
        <w:tc>
          <w:tcPr>
            <w:tcW w:w="1581" w:type="dxa"/>
            <w:shd w:val="clear" w:color="auto" w:fill="auto"/>
            <w:vAlign w:val="center"/>
          </w:tcPr>
          <w:p w:rsidR="00100AF9" w:rsidRPr="00F675B0" w:rsidRDefault="00100AF9" w:rsidP="00605ED2">
            <w:pPr>
              <w:jc w:val="center"/>
            </w:pPr>
            <w:r w:rsidRPr="00F675B0">
              <w:t>Slag</w:t>
            </w:r>
          </w:p>
        </w:tc>
        <w:tc>
          <w:tcPr>
            <w:tcW w:w="1758" w:type="dxa"/>
            <w:shd w:val="clear" w:color="auto" w:fill="auto"/>
            <w:vAlign w:val="center"/>
          </w:tcPr>
          <w:p w:rsidR="00100AF9" w:rsidRPr="00F675B0" w:rsidRDefault="00100AF9" w:rsidP="00605ED2">
            <w:pPr>
              <w:jc w:val="center"/>
            </w:pPr>
            <w:r w:rsidRPr="00F675B0">
              <w:t>Yes</w:t>
            </w:r>
          </w:p>
        </w:tc>
      </w:tr>
      <w:tr w:rsidR="00100AF9" w:rsidRPr="00F675B0" w:rsidTr="00100AF9">
        <w:trPr>
          <w:trHeight w:val="150"/>
          <w:jc w:val="center"/>
        </w:trPr>
        <w:tc>
          <w:tcPr>
            <w:tcW w:w="2208" w:type="dxa"/>
            <w:shd w:val="clear" w:color="auto" w:fill="auto"/>
            <w:vAlign w:val="center"/>
          </w:tcPr>
          <w:p w:rsidR="00100AF9" w:rsidRPr="00F675B0" w:rsidRDefault="00100AF9" w:rsidP="00605ED2">
            <w:pPr>
              <w:jc w:val="center"/>
            </w:pPr>
            <w:r w:rsidRPr="00F675B0">
              <w:t>Minor Components</w:t>
            </w:r>
          </w:p>
        </w:tc>
        <w:tc>
          <w:tcPr>
            <w:tcW w:w="3004" w:type="dxa"/>
            <w:shd w:val="clear" w:color="auto" w:fill="auto"/>
            <w:vAlign w:val="center"/>
          </w:tcPr>
          <w:p w:rsidR="00100AF9" w:rsidRPr="00F675B0" w:rsidRDefault="00100AF9" w:rsidP="00605ED2">
            <w:pPr>
              <w:jc w:val="center"/>
            </w:pPr>
            <w:r w:rsidRPr="00F675B0">
              <w:t>Insoluble compounds</w:t>
            </w:r>
          </w:p>
        </w:tc>
        <w:tc>
          <w:tcPr>
            <w:tcW w:w="1581" w:type="dxa"/>
            <w:shd w:val="clear" w:color="auto" w:fill="auto"/>
            <w:vAlign w:val="center"/>
          </w:tcPr>
          <w:p w:rsidR="00100AF9" w:rsidRPr="00F675B0" w:rsidRDefault="00100AF9" w:rsidP="00605ED2">
            <w:pPr>
              <w:jc w:val="center"/>
            </w:pPr>
            <w:r w:rsidRPr="00F675B0">
              <w:t>Slag</w:t>
            </w:r>
          </w:p>
        </w:tc>
        <w:tc>
          <w:tcPr>
            <w:tcW w:w="1758" w:type="dxa"/>
            <w:shd w:val="clear" w:color="auto" w:fill="auto"/>
            <w:vAlign w:val="center"/>
          </w:tcPr>
          <w:p w:rsidR="00100AF9" w:rsidRPr="00F675B0" w:rsidRDefault="00100AF9" w:rsidP="00605ED2">
            <w:pPr>
              <w:jc w:val="center"/>
            </w:pPr>
            <w:r w:rsidRPr="00F675B0">
              <w:t>Yes</w:t>
            </w:r>
          </w:p>
        </w:tc>
      </w:tr>
    </w:tbl>
    <w:p w:rsidR="00BE0A05" w:rsidRDefault="00BE0A05" w:rsidP="001676E3"/>
    <w:p w:rsidR="001676E3" w:rsidRDefault="00A7264A" w:rsidP="001676E3">
      <w:r w:rsidRPr="00F675B0">
        <w:t xml:space="preserve">Firstly, this mineral undergoes several phase transformations from one polymorph to another when the slag is cooled. As the </w:t>
      </w:r>
      <w:proofErr w:type="spellStart"/>
      <w:r w:rsidRPr="00F675B0">
        <w:t>athermal</w:t>
      </w:r>
      <w:proofErr w:type="spellEnd"/>
      <w:r w:rsidRPr="00F675B0">
        <w:t xml:space="preserve"> transformation of the monoclinic </w:t>
      </w:r>
      <w:r w:rsidRPr="00A7264A">
        <w:t>β</w:t>
      </w:r>
      <w:r w:rsidRPr="00F675B0">
        <w:t xml:space="preserve">-polymorph to the orthorhombic </w:t>
      </w:r>
      <w:r w:rsidRPr="00A7264A">
        <w:t>γ</w:t>
      </w:r>
      <w:r w:rsidRPr="00F675B0">
        <w:t xml:space="preserve">-polymorph </w:t>
      </w:r>
      <w:r w:rsidR="001676E3">
        <w:t>at around 675</w:t>
      </w:r>
      <w:r w:rsidR="001676E3" w:rsidRPr="001676E3">
        <w:rPr>
          <w:vertAlign w:val="superscript"/>
        </w:rPr>
        <w:t>o</w:t>
      </w:r>
      <w:r w:rsidR="001676E3">
        <w:t xml:space="preserve">C </w:t>
      </w:r>
      <w:r w:rsidRPr="00F675B0">
        <w:t>is accompanied by a volume expansion of about 12%</w:t>
      </w:r>
      <w:proofErr w:type="gramStart"/>
      <w:r w:rsidRPr="00F675B0">
        <w:t>,</w:t>
      </w:r>
      <w:r w:rsidRPr="00A7264A">
        <w:rPr>
          <w:vertAlign w:val="superscript"/>
        </w:rPr>
        <w:t>4</w:t>
      </w:r>
      <w:proofErr w:type="gramEnd"/>
      <w:r w:rsidRPr="00F675B0">
        <w:t xml:space="preserve"> high internal stresses are built up in the slag, finally causing</w:t>
      </w:r>
      <w:r w:rsidR="00100AF9">
        <w:t xml:space="preserve"> its</w:t>
      </w:r>
      <w:r w:rsidRPr="00F675B0">
        <w:t xml:space="preserve"> disintegration. </w:t>
      </w:r>
      <w:r w:rsidR="00A25B59">
        <w:t>This phenomenon, called “dusting”,</w:t>
      </w:r>
      <w:r w:rsidR="00A25B59" w:rsidRPr="00F675B0">
        <w:t xml:space="preserve"> is desirable for economic reasons related to the subsequent </w:t>
      </w:r>
      <w:r w:rsidR="00A25B59">
        <w:t>comminution</w:t>
      </w:r>
      <w:r w:rsidR="00A25B59" w:rsidRPr="00F675B0">
        <w:t xml:space="preserve"> processes.</w:t>
      </w:r>
      <w:r w:rsidR="00A25B59">
        <w:t xml:space="preserve"> </w:t>
      </w:r>
      <w:r w:rsidR="001676E3" w:rsidRPr="00F675B0">
        <w:t>Table 1 presents the correlation between compound</w:t>
      </w:r>
      <w:r w:rsidR="001676E3">
        <w:t>s</w:t>
      </w:r>
      <w:r w:rsidR="001676E3" w:rsidRPr="00F675B0">
        <w:t xml:space="preserve"> present in bauxite and the desirable products of these after a successfully completed smelting stage. </w:t>
      </w:r>
    </w:p>
    <w:p w:rsidR="00A7264A" w:rsidRPr="00A7264A" w:rsidRDefault="00A7264A" w:rsidP="00A7264A">
      <w:pPr>
        <w:pStyle w:val="Heading3"/>
      </w:pPr>
      <w:r w:rsidRPr="00A7264A">
        <w:t>Leaching Process Influence</w:t>
      </w:r>
    </w:p>
    <w:p w:rsidR="00A7264A" w:rsidRDefault="00A25B59" w:rsidP="00A7264A">
      <w:r>
        <w:t>Assuming</w:t>
      </w:r>
      <w:r w:rsidR="00A7264A" w:rsidRPr="00A7264A">
        <w:t xml:space="preserve"> the smelting stage has been modelled to high precision, then a calcium aluminate slag containing the desirable compounds presented in Table 1 is fed to the leaching circuit</w:t>
      </w:r>
      <w:r w:rsidR="00A12161">
        <w:t xml:space="preserve">. </w:t>
      </w:r>
      <w:r w:rsidR="0018170A">
        <w:t>D</w:t>
      </w:r>
      <w:r w:rsidR="00A7264A" w:rsidRPr="00A7264A">
        <w:t>uring leaching with sodium carbonate solutions, the following reactions may take place:</w:t>
      </w:r>
    </w:p>
    <w:p w:rsidR="00FE3793" w:rsidRPr="00A7264A" w:rsidRDefault="00FE3793" w:rsidP="00A7264A"/>
    <w:p w:rsidR="00A7264A" w:rsidRPr="00340243" w:rsidRDefault="00E7399B" w:rsidP="00A7264A">
      <m:oMathPara>
        <m:oMathParaPr>
          <m:jc m:val="left"/>
        </m:oMathParaPr>
        <m:oMath>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r>
                    <w:rPr>
                      <w:rFonts w:ascii="Cambria Math" w:eastAsia="Calibri" w:hAnsi="Cambria Math" w:cs="Times New Roman"/>
                      <w:sz w:val="22"/>
                      <w:lang w:eastAsia="en-US"/>
                    </w:rPr>
                    <m:t>CaO∙</m:t>
                  </m:r>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Al</m:t>
                      </m:r>
                    </m:e>
                    <m:sub>
                      <m:r>
                        <w:rPr>
                          <w:rFonts w:ascii="Cambria Math" w:eastAsia="Calibri" w:hAnsi="Cambria Math" w:cs="Times New Roman"/>
                          <w:sz w:val="22"/>
                          <w:lang w:eastAsia="en-US"/>
                        </w:rPr>
                        <m:t>2</m:t>
                      </m:r>
                    </m:sub>
                  </m:sSub>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O</m:t>
                      </m:r>
                    </m:e>
                    <m:sub>
                      <m:r>
                        <w:rPr>
                          <w:rFonts w:ascii="Cambria Math" w:eastAsia="Calibri" w:hAnsi="Cambria Math" w:cs="Times New Roman"/>
                          <w:sz w:val="22"/>
                          <w:lang w:eastAsia="en-US"/>
                        </w:rPr>
                        <m:t>3</m:t>
                      </m:r>
                    </m:sub>
                  </m:sSub>
                </m:e>
              </m:d>
            </m:e>
            <m:sub>
              <m:r>
                <w:rPr>
                  <w:rFonts w:ascii="Cambria Math" w:eastAsia="Calibri" w:hAnsi="Cambria Math" w:cs="Times New Roman"/>
                  <w:sz w:val="22"/>
                  <w:lang w:eastAsia="en-US"/>
                </w:rPr>
                <m:t>s</m:t>
              </m:r>
            </m:sub>
          </m:sSub>
          <m:r>
            <w:rPr>
              <w:rFonts w:ascii="Cambria Math" w:eastAsia="Calibri" w:hAnsi="Cambria Math" w:cs="Times New Roman"/>
              <w:sz w:val="22"/>
              <w:lang w:eastAsia="en-US"/>
            </w:rPr>
            <m:t>+</m:t>
          </m:r>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Na</m:t>
                      </m:r>
                    </m:e>
                    <m:sub>
                      <m:r>
                        <w:rPr>
                          <w:rFonts w:ascii="Cambria Math" w:eastAsia="Calibri" w:hAnsi="Cambria Math" w:cs="Times New Roman"/>
                          <w:sz w:val="22"/>
                          <w:lang w:eastAsia="en-US"/>
                        </w:rPr>
                        <m:t>2</m:t>
                      </m:r>
                    </m:sub>
                  </m:sSub>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CO</m:t>
                      </m:r>
                    </m:e>
                    <m:sub>
                      <m:r>
                        <w:rPr>
                          <w:rFonts w:ascii="Cambria Math" w:eastAsia="Calibri" w:hAnsi="Cambria Math" w:cs="Times New Roman"/>
                          <w:sz w:val="22"/>
                          <w:lang w:eastAsia="en-US"/>
                        </w:rPr>
                        <m:t>3</m:t>
                      </m:r>
                    </m:sub>
                  </m:sSub>
                </m:e>
              </m:d>
            </m:e>
            <m:sub>
              <m:r>
                <w:rPr>
                  <w:rFonts w:ascii="Cambria Math" w:eastAsia="Calibri" w:hAnsi="Cambria Math" w:cs="Times New Roman"/>
                  <w:sz w:val="22"/>
                  <w:lang w:eastAsia="en-US"/>
                </w:rPr>
                <m:t>aq</m:t>
              </m:r>
            </m:sub>
          </m:sSub>
          <m:r>
            <w:rPr>
              <w:rFonts w:ascii="Cambria Math" w:eastAsia="Calibri" w:hAnsi="Cambria Math" w:cs="Times New Roman"/>
              <w:sz w:val="22"/>
              <w:lang w:eastAsia="en-US"/>
            </w:rPr>
            <m:t>→</m:t>
          </m:r>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r>
                    <w:rPr>
                      <w:rFonts w:ascii="Cambria Math" w:eastAsia="Calibri" w:hAnsi="Cambria Math" w:cs="Times New Roman"/>
                      <w:sz w:val="22"/>
                      <w:lang w:eastAsia="en-US"/>
                    </w:rPr>
                    <m:t>NaAl</m:t>
                  </m:r>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r>
                            <w:rPr>
                              <w:rFonts w:ascii="Cambria Math" w:eastAsia="Calibri" w:hAnsi="Cambria Math" w:cs="Times New Roman"/>
                              <w:sz w:val="22"/>
                              <w:lang w:eastAsia="en-US"/>
                            </w:rPr>
                            <m:t>OH</m:t>
                          </m:r>
                        </m:e>
                      </m:d>
                    </m:e>
                    <m:sub>
                      <m:r>
                        <w:rPr>
                          <w:rFonts w:ascii="Cambria Math" w:eastAsia="Calibri" w:hAnsi="Cambria Math" w:cs="Times New Roman"/>
                          <w:sz w:val="22"/>
                          <w:lang w:eastAsia="en-US"/>
                        </w:rPr>
                        <m:t>4</m:t>
                      </m:r>
                    </m:sub>
                  </m:sSub>
                </m:e>
              </m:d>
            </m:e>
            <m:sub>
              <m:r>
                <w:rPr>
                  <w:rFonts w:ascii="Cambria Math" w:eastAsia="Calibri" w:hAnsi="Cambria Math" w:cs="Times New Roman"/>
                  <w:sz w:val="22"/>
                  <w:lang w:eastAsia="en-US"/>
                </w:rPr>
                <m:t>aq</m:t>
              </m:r>
            </m:sub>
          </m:sSub>
          <m:r>
            <w:rPr>
              <w:rFonts w:ascii="Cambria Math" w:eastAsia="Calibri" w:hAnsi="Cambria Math" w:cs="Times New Roman"/>
              <w:sz w:val="22"/>
              <w:lang w:eastAsia="en-US"/>
            </w:rPr>
            <m:t>+</m:t>
          </m:r>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r>
                    <w:rPr>
                      <w:rFonts w:ascii="Cambria Math" w:eastAsia="Calibri" w:hAnsi="Cambria Math" w:cs="Times New Roman"/>
                      <w:sz w:val="22"/>
                      <w:lang w:eastAsia="en-US"/>
                    </w:rPr>
                    <m:t>Ca</m:t>
                  </m:r>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CO</m:t>
                      </m:r>
                    </m:e>
                    <m:sub>
                      <m:r>
                        <w:rPr>
                          <w:rFonts w:ascii="Cambria Math" w:eastAsia="Calibri" w:hAnsi="Cambria Math" w:cs="Times New Roman"/>
                          <w:sz w:val="22"/>
                          <w:lang w:eastAsia="en-US"/>
                        </w:rPr>
                        <m:t>3</m:t>
                      </m:r>
                    </m:sub>
                  </m:sSub>
                </m:e>
              </m:d>
            </m:e>
            <m:sub>
              <m:r>
                <w:rPr>
                  <w:rFonts w:ascii="Cambria Math" w:eastAsia="Calibri" w:hAnsi="Cambria Math" w:cs="Times New Roman"/>
                  <w:sz w:val="22"/>
                  <w:lang w:eastAsia="en-US"/>
                </w:rPr>
                <m:t>s</m:t>
              </m:r>
            </m:sub>
          </m:sSub>
          <m:r>
            <w:rPr>
              <w:rFonts w:ascii="Cambria Math" w:eastAsia="Calibri" w:hAnsi="Cambria Math" w:cs="Times New Roman"/>
              <w:sz w:val="22"/>
              <w:lang w:eastAsia="en-US"/>
            </w:rPr>
            <m:t xml:space="preserve"> (1)</m:t>
          </m:r>
        </m:oMath>
      </m:oMathPara>
    </w:p>
    <w:p w:rsidR="00A7264A" w:rsidRPr="00340243" w:rsidRDefault="00E7399B" w:rsidP="00A7264A">
      <m:oMathPara>
        <m:oMathParaPr>
          <m:jc m:val="left"/>
        </m:oMathParaPr>
        <m:oMath>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r>
                    <w:rPr>
                      <w:rFonts w:ascii="Cambria Math" w:eastAsia="Calibri" w:hAnsi="Cambria Math" w:cs="Times New Roman"/>
                      <w:sz w:val="22"/>
                      <w:lang w:eastAsia="en-US"/>
                    </w:rPr>
                    <m:t>3CaO∙</m:t>
                  </m:r>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Al</m:t>
                      </m:r>
                    </m:e>
                    <m:sub>
                      <m:r>
                        <w:rPr>
                          <w:rFonts w:ascii="Cambria Math" w:eastAsia="Calibri" w:hAnsi="Cambria Math" w:cs="Times New Roman"/>
                          <w:sz w:val="22"/>
                          <w:lang w:eastAsia="en-US"/>
                        </w:rPr>
                        <m:t>2</m:t>
                      </m:r>
                    </m:sub>
                  </m:sSub>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O</m:t>
                      </m:r>
                    </m:e>
                    <m:sub>
                      <m:r>
                        <w:rPr>
                          <w:rFonts w:ascii="Cambria Math" w:eastAsia="Calibri" w:hAnsi="Cambria Math" w:cs="Times New Roman"/>
                          <w:sz w:val="22"/>
                          <w:lang w:eastAsia="en-US"/>
                        </w:rPr>
                        <m:t>3</m:t>
                      </m:r>
                    </m:sub>
                  </m:sSub>
                </m:e>
              </m:d>
            </m:e>
            <m:sub>
              <m:r>
                <w:rPr>
                  <w:rFonts w:ascii="Cambria Math" w:eastAsia="Calibri" w:hAnsi="Cambria Math" w:cs="Times New Roman"/>
                  <w:sz w:val="22"/>
                  <w:lang w:eastAsia="en-US"/>
                </w:rPr>
                <m:t>s</m:t>
              </m:r>
            </m:sub>
          </m:sSub>
          <m:r>
            <w:rPr>
              <w:rFonts w:ascii="Cambria Math" w:eastAsia="Calibri" w:hAnsi="Cambria Math" w:cs="Times New Roman"/>
              <w:sz w:val="22"/>
              <w:lang w:eastAsia="en-US"/>
            </w:rPr>
            <m:t>+3</m:t>
          </m:r>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Na</m:t>
                      </m:r>
                    </m:e>
                    <m:sub>
                      <m:r>
                        <w:rPr>
                          <w:rFonts w:ascii="Cambria Math" w:eastAsia="Calibri" w:hAnsi="Cambria Math" w:cs="Times New Roman"/>
                          <w:sz w:val="22"/>
                          <w:lang w:eastAsia="en-US"/>
                        </w:rPr>
                        <m:t>2</m:t>
                      </m:r>
                    </m:sub>
                  </m:sSub>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CO</m:t>
                      </m:r>
                    </m:e>
                    <m:sub>
                      <m:r>
                        <w:rPr>
                          <w:rFonts w:ascii="Cambria Math" w:eastAsia="Calibri" w:hAnsi="Cambria Math" w:cs="Times New Roman"/>
                          <w:sz w:val="22"/>
                          <w:lang w:eastAsia="en-US"/>
                        </w:rPr>
                        <m:t>3</m:t>
                      </m:r>
                    </m:sub>
                  </m:sSub>
                </m:e>
              </m:d>
            </m:e>
            <m:sub>
              <m:r>
                <w:rPr>
                  <w:rFonts w:ascii="Cambria Math" w:eastAsia="Calibri" w:hAnsi="Cambria Math" w:cs="Times New Roman"/>
                  <w:sz w:val="22"/>
                  <w:lang w:eastAsia="en-US"/>
                </w:rPr>
                <m:t>aq</m:t>
              </m:r>
            </m:sub>
          </m:sSub>
          <m:r>
            <w:rPr>
              <w:rFonts w:ascii="Cambria Math" w:eastAsia="Calibri" w:hAnsi="Cambria Math" w:cs="Times New Roman"/>
              <w:sz w:val="22"/>
              <w:lang w:eastAsia="en-US"/>
            </w:rPr>
            <m:t>+2</m:t>
          </m:r>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H</m:t>
              </m:r>
            </m:e>
            <m:sub>
              <m:r>
                <w:rPr>
                  <w:rFonts w:ascii="Cambria Math" w:eastAsia="Calibri" w:hAnsi="Cambria Math" w:cs="Times New Roman"/>
                  <w:sz w:val="22"/>
                  <w:lang w:eastAsia="en-US"/>
                </w:rPr>
                <m:t>2</m:t>
              </m:r>
            </m:sub>
          </m:sSub>
          <m:r>
            <w:rPr>
              <w:rFonts w:ascii="Cambria Math" w:eastAsia="Calibri" w:hAnsi="Cambria Math" w:cs="Times New Roman"/>
              <w:sz w:val="22"/>
              <w:lang w:eastAsia="en-US"/>
            </w:rPr>
            <m:t>O→</m:t>
          </m:r>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r>
                    <w:rPr>
                      <w:rFonts w:ascii="Cambria Math" w:eastAsia="Calibri" w:hAnsi="Cambria Math" w:cs="Times New Roman"/>
                      <w:sz w:val="22"/>
                      <w:lang w:eastAsia="en-US"/>
                    </w:rPr>
                    <m:t>NaAl</m:t>
                  </m:r>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r>
                            <w:rPr>
                              <w:rFonts w:ascii="Cambria Math" w:eastAsia="Calibri" w:hAnsi="Cambria Math" w:cs="Times New Roman"/>
                              <w:sz w:val="22"/>
                              <w:lang w:eastAsia="en-US"/>
                            </w:rPr>
                            <m:t>OH</m:t>
                          </m:r>
                        </m:e>
                      </m:d>
                    </m:e>
                    <m:sub>
                      <m:r>
                        <w:rPr>
                          <w:rFonts w:ascii="Cambria Math" w:eastAsia="Calibri" w:hAnsi="Cambria Math" w:cs="Times New Roman"/>
                          <w:sz w:val="22"/>
                          <w:lang w:eastAsia="en-US"/>
                        </w:rPr>
                        <m:t>4</m:t>
                      </m:r>
                    </m:sub>
                  </m:sSub>
                </m:e>
              </m:d>
            </m:e>
            <m:sub>
              <m:r>
                <w:rPr>
                  <w:rFonts w:ascii="Cambria Math" w:eastAsia="Calibri" w:hAnsi="Cambria Math" w:cs="Times New Roman"/>
                  <w:sz w:val="22"/>
                  <w:lang w:eastAsia="en-US"/>
                </w:rPr>
                <m:t>aq</m:t>
              </m:r>
            </m:sub>
          </m:sSub>
          <m:r>
            <w:rPr>
              <w:rFonts w:ascii="Cambria Math" w:eastAsia="Calibri" w:hAnsi="Cambria Math" w:cs="Times New Roman"/>
              <w:sz w:val="22"/>
              <w:lang w:eastAsia="en-US"/>
            </w:rPr>
            <m:t>+3</m:t>
          </m:r>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r>
                    <w:rPr>
                      <w:rFonts w:ascii="Cambria Math" w:eastAsia="Calibri" w:hAnsi="Cambria Math" w:cs="Times New Roman"/>
                      <w:sz w:val="22"/>
                      <w:lang w:eastAsia="en-US"/>
                    </w:rPr>
                    <m:t>Ca</m:t>
                  </m:r>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CO</m:t>
                      </m:r>
                    </m:e>
                    <m:sub>
                      <m:r>
                        <w:rPr>
                          <w:rFonts w:ascii="Cambria Math" w:eastAsia="Calibri" w:hAnsi="Cambria Math" w:cs="Times New Roman"/>
                          <w:sz w:val="22"/>
                          <w:lang w:eastAsia="en-US"/>
                        </w:rPr>
                        <m:t>3</m:t>
                      </m:r>
                    </m:sub>
                  </m:sSub>
                </m:e>
              </m:d>
            </m:e>
            <m:sub>
              <m:r>
                <w:rPr>
                  <w:rFonts w:ascii="Cambria Math" w:eastAsia="Calibri" w:hAnsi="Cambria Math" w:cs="Times New Roman"/>
                  <w:sz w:val="22"/>
                  <w:lang w:eastAsia="en-US"/>
                </w:rPr>
                <m:t>s</m:t>
              </m:r>
            </m:sub>
          </m:sSub>
          <m:r>
            <w:rPr>
              <w:rFonts w:ascii="Cambria Math" w:eastAsia="Calibri" w:hAnsi="Cambria Math" w:cs="Times New Roman"/>
              <w:sz w:val="22"/>
              <w:lang w:eastAsia="en-US"/>
            </w:rPr>
            <m:t>+4NaOH (2)</m:t>
          </m:r>
        </m:oMath>
      </m:oMathPara>
    </w:p>
    <w:p w:rsidR="00A7264A" w:rsidRPr="00340243" w:rsidRDefault="00E7399B" w:rsidP="00A7264A">
      <m:oMathPara>
        <m:oMathParaPr>
          <m:jc m:val="left"/>
        </m:oMathParaPr>
        <m:oMath>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r>
                    <w:rPr>
                      <w:rFonts w:ascii="Cambria Math" w:eastAsia="Calibri" w:hAnsi="Cambria Math" w:cs="Times New Roman"/>
                      <w:sz w:val="22"/>
                      <w:lang w:eastAsia="en-US"/>
                    </w:rPr>
                    <m:t>12CaO∙7</m:t>
                  </m:r>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Al</m:t>
                      </m:r>
                    </m:e>
                    <m:sub>
                      <m:r>
                        <w:rPr>
                          <w:rFonts w:ascii="Cambria Math" w:eastAsia="Calibri" w:hAnsi="Cambria Math" w:cs="Times New Roman"/>
                          <w:sz w:val="22"/>
                          <w:lang w:eastAsia="en-US"/>
                        </w:rPr>
                        <m:t>2</m:t>
                      </m:r>
                    </m:sub>
                  </m:sSub>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O</m:t>
                      </m:r>
                    </m:e>
                    <m:sub>
                      <m:r>
                        <w:rPr>
                          <w:rFonts w:ascii="Cambria Math" w:eastAsia="Calibri" w:hAnsi="Cambria Math" w:cs="Times New Roman"/>
                          <w:sz w:val="22"/>
                          <w:lang w:eastAsia="en-US"/>
                        </w:rPr>
                        <m:t>3</m:t>
                      </m:r>
                    </m:sub>
                  </m:sSub>
                </m:e>
              </m:d>
            </m:e>
            <m:sub>
              <m:r>
                <w:rPr>
                  <w:rFonts w:ascii="Cambria Math" w:eastAsia="Calibri" w:hAnsi="Cambria Math" w:cs="Times New Roman"/>
                  <w:sz w:val="22"/>
                  <w:lang w:eastAsia="en-US"/>
                </w:rPr>
                <m:t>s</m:t>
              </m:r>
            </m:sub>
          </m:sSub>
          <m:r>
            <w:rPr>
              <w:rFonts w:ascii="Cambria Math" w:eastAsia="Calibri" w:hAnsi="Cambria Math" w:cs="Times New Roman"/>
              <w:sz w:val="22"/>
              <w:lang w:eastAsia="en-US"/>
            </w:rPr>
            <m:t>+12</m:t>
          </m:r>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Na</m:t>
                      </m:r>
                    </m:e>
                    <m:sub>
                      <m:r>
                        <w:rPr>
                          <w:rFonts w:ascii="Cambria Math" w:eastAsia="Calibri" w:hAnsi="Cambria Math" w:cs="Times New Roman"/>
                          <w:sz w:val="22"/>
                          <w:lang w:eastAsia="en-US"/>
                        </w:rPr>
                        <m:t>2</m:t>
                      </m:r>
                    </m:sub>
                  </m:sSub>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CO</m:t>
                      </m:r>
                    </m:e>
                    <m:sub>
                      <m:r>
                        <w:rPr>
                          <w:rFonts w:ascii="Cambria Math" w:eastAsia="Calibri" w:hAnsi="Cambria Math" w:cs="Times New Roman"/>
                          <w:sz w:val="22"/>
                          <w:lang w:eastAsia="en-US"/>
                        </w:rPr>
                        <m:t>3</m:t>
                      </m:r>
                    </m:sub>
                  </m:sSub>
                </m:e>
              </m:d>
            </m:e>
            <m:sub>
              <m:r>
                <w:rPr>
                  <w:rFonts w:ascii="Cambria Math" w:eastAsia="Calibri" w:hAnsi="Cambria Math" w:cs="Times New Roman"/>
                  <w:sz w:val="22"/>
                  <w:lang w:eastAsia="en-US"/>
                </w:rPr>
                <m:t>aq</m:t>
              </m:r>
            </m:sub>
          </m:sSub>
          <m:r>
            <w:rPr>
              <w:rFonts w:ascii="Cambria Math" w:eastAsia="Calibri" w:hAnsi="Cambria Math" w:cs="Times New Roman"/>
              <w:sz w:val="22"/>
              <w:lang w:eastAsia="en-US"/>
            </w:rPr>
            <m:t>+5</m:t>
          </m:r>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H</m:t>
              </m:r>
            </m:e>
            <m:sub>
              <m:r>
                <w:rPr>
                  <w:rFonts w:ascii="Cambria Math" w:eastAsia="Calibri" w:hAnsi="Cambria Math" w:cs="Times New Roman"/>
                  <w:sz w:val="22"/>
                  <w:lang w:eastAsia="en-US"/>
                </w:rPr>
                <m:t>2</m:t>
              </m:r>
            </m:sub>
          </m:sSub>
          <m:r>
            <w:rPr>
              <w:rFonts w:ascii="Cambria Math" w:eastAsia="Calibri" w:hAnsi="Cambria Math" w:cs="Times New Roman"/>
              <w:sz w:val="22"/>
              <w:lang w:eastAsia="en-US"/>
            </w:rPr>
            <m:t>O→7</m:t>
          </m:r>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r>
                    <w:rPr>
                      <w:rFonts w:ascii="Cambria Math" w:eastAsia="Calibri" w:hAnsi="Cambria Math" w:cs="Times New Roman"/>
                      <w:sz w:val="22"/>
                      <w:lang w:eastAsia="en-US"/>
                    </w:rPr>
                    <m:t>NaAl</m:t>
                  </m:r>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r>
                            <w:rPr>
                              <w:rFonts w:ascii="Cambria Math" w:eastAsia="Calibri" w:hAnsi="Cambria Math" w:cs="Times New Roman"/>
                              <w:sz w:val="22"/>
                              <w:lang w:eastAsia="en-US"/>
                            </w:rPr>
                            <m:t>OH</m:t>
                          </m:r>
                        </m:e>
                      </m:d>
                    </m:e>
                    <m:sub>
                      <m:r>
                        <w:rPr>
                          <w:rFonts w:ascii="Cambria Math" w:eastAsia="Calibri" w:hAnsi="Cambria Math" w:cs="Times New Roman"/>
                          <w:sz w:val="22"/>
                          <w:lang w:eastAsia="en-US"/>
                        </w:rPr>
                        <m:t>4</m:t>
                      </m:r>
                    </m:sub>
                  </m:sSub>
                </m:e>
              </m:d>
            </m:e>
            <m:sub>
              <m:r>
                <w:rPr>
                  <w:rFonts w:ascii="Cambria Math" w:eastAsia="Calibri" w:hAnsi="Cambria Math" w:cs="Times New Roman"/>
                  <w:sz w:val="22"/>
                  <w:lang w:eastAsia="en-US"/>
                </w:rPr>
                <m:t>aq</m:t>
              </m:r>
            </m:sub>
          </m:sSub>
          <m:r>
            <w:rPr>
              <w:rFonts w:ascii="Cambria Math" w:eastAsia="Calibri" w:hAnsi="Cambria Math" w:cs="Times New Roman"/>
              <w:sz w:val="22"/>
              <w:lang w:eastAsia="en-US"/>
            </w:rPr>
            <m:t>+12</m:t>
          </m:r>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r>
                    <w:rPr>
                      <w:rFonts w:ascii="Cambria Math" w:eastAsia="Calibri" w:hAnsi="Cambria Math" w:cs="Times New Roman"/>
                      <w:sz w:val="22"/>
                      <w:lang w:eastAsia="en-US"/>
                    </w:rPr>
                    <m:t>Ca</m:t>
                  </m:r>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CO</m:t>
                      </m:r>
                    </m:e>
                    <m:sub>
                      <m:r>
                        <w:rPr>
                          <w:rFonts w:ascii="Cambria Math" w:eastAsia="Calibri" w:hAnsi="Cambria Math" w:cs="Times New Roman"/>
                          <w:sz w:val="22"/>
                          <w:lang w:eastAsia="en-US"/>
                        </w:rPr>
                        <m:t>3</m:t>
                      </m:r>
                    </m:sub>
                  </m:sSub>
                </m:e>
              </m:d>
            </m:e>
            <m:sub>
              <m:r>
                <w:rPr>
                  <w:rFonts w:ascii="Cambria Math" w:eastAsia="Calibri" w:hAnsi="Cambria Math" w:cs="Times New Roman"/>
                  <w:sz w:val="22"/>
                  <w:lang w:eastAsia="en-US"/>
                </w:rPr>
                <m:t>s</m:t>
              </m:r>
            </m:sub>
          </m:sSub>
          <m:r>
            <w:rPr>
              <w:rFonts w:ascii="Cambria Math" w:eastAsia="Calibri" w:hAnsi="Cambria Math" w:cs="Times New Roman"/>
              <w:sz w:val="22"/>
              <w:lang w:eastAsia="en-US"/>
            </w:rPr>
            <m:t>+10NaOH (3)</m:t>
          </m:r>
        </m:oMath>
      </m:oMathPara>
    </w:p>
    <w:p w:rsidR="00A7264A" w:rsidRPr="00340243" w:rsidRDefault="00E7399B" w:rsidP="00A7264A">
      <m:oMathPara>
        <m:oMathParaPr>
          <m:jc m:val="left"/>
        </m:oMathParaPr>
        <m:oMath>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r>
                    <w:rPr>
                      <w:rFonts w:ascii="Cambria Math" w:eastAsia="Calibri" w:hAnsi="Cambria Math" w:cs="Times New Roman"/>
                      <w:sz w:val="22"/>
                      <w:lang w:eastAsia="en-US"/>
                    </w:rPr>
                    <m:t>2CaO∙Si</m:t>
                  </m:r>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O</m:t>
                      </m:r>
                    </m:e>
                    <m:sub>
                      <m:r>
                        <w:rPr>
                          <w:rFonts w:ascii="Cambria Math" w:eastAsia="Calibri" w:hAnsi="Cambria Math" w:cs="Times New Roman"/>
                          <w:sz w:val="22"/>
                          <w:lang w:eastAsia="en-US"/>
                        </w:rPr>
                        <m:t>2</m:t>
                      </m:r>
                    </m:sub>
                  </m:sSub>
                </m:e>
              </m:d>
            </m:e>
            <m:sub>
              <m:r>
                <w:rPr>
                  <w:rFonts w:ascii="Cambria Math" w:eastAsia="Calibri" w:hAnsi="Cambria Math" w:cs="Times New Roman"/>
                  <w:sz w:val="22"/>
                  <w:lang w:eastAsia="en-US"/>
                </w:rPr>
                <m:t>s</m:t>
              </m:r>
            </m:sub>
          </m:sSub>
          <m:r>
            <w:rPr>
              <w:rFonts w:ascii="Cambria Math" w:eastAsia="Calibri" w:hAnsi="Cambria Math" w:cs="Times New Roman"/>
              <w:sz w:val="22"/>
              <w:lang w:eastAsia="en-US"/>
            </w:rPr>
            <m:t>+2</m:t>
          </m:r>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Na</m:t>
                      </m:r>
                    </m:e>
                    <m:sub>
                      <m:r>
                        <w:rPr>
                          <w:rFonts w:ascii="Cambria Math" w:eastAsia="Calibri" w:hAnsi="Cambria Math" w:cs="Times New Roman"/>
                          <w:sz w:val="22"/>
                          <w:lang w:eastAsia="en-US"/>
                        </w:rPr>
                        <m:t>2</m:t>
                      </m:r>
                    </m:sub>
                  </m:sSub>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CO</m:t>
                      </m:r>
                    </m:e>
                    <m:sub>
                      <m:r>
                        <w:rPr>
                          <w:rFonts w:ascii="Cambria Math" w:eastAsia="Calibri" w:hAnsi="Cambria Math" w:cs="Times New Roman"/>
                          <w:sz w:val="22"/>
                          <w:lang w:eastAsia="en-US"/>
                        </w:rPr>
                        <m:t>3</m:t>
                      </m:r>
                    </m:sub>
                  </m:sSub>
                </m:e>
              </m:d>
            </m:e>
            <m:sub>
              <m:r>
                <w:rPr>
                  <w:rFonts w:ascii="Cambria Math" w:eastAsia="Calibri" w:hAnsi="Cambria Math" w:cs="Times New Roman"/>
                  <w:sz w:val="22"/>
                  <w:lang w:eastAsia="en-US"/>
                </w:rPr>
                <m:t>aq</m:t>
              </m:r>
            </m:sub>
          </m:sSub>
          <m:r>
            <w:rPr>
              <w:rFonts w:ascii="Cambria Math" w:eastAsia="Calibri" w:hAnsi="Cambria Math" w:cs="Times New Roman"/>
              <w:sz w:val="22"/>
              <w:lang w:eastAsia="en-US"/>
            </w:rPr>
            <m:t>+</m:t>
          </m:r>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H</m:t>
              </m:r>
            </m:e>
            <m:sub>
              <m:r>
                <w:rPr>
                  <w:rFonts w:ascii="Cambria Math" w:eastAsia="Calibri" w:hAnsi="Cambria Math" w:cs="Times New Roman"/>
                  <w:sz w:val="22"/>
                  <w:lang w:eastAsia="en-US"/>
                </w:rPr>
                <m:t>2</m:t>
              </m:r>
            </m:sub>
          </m:sSub>
          <m:r>
            <w:rPr>
              <w:rFonts w:ascii="Cambria Math" w:eastAsia="Calibri" w:hAnsi="Cambria Math" w:cs="Times New Roman"/>
              <w:sz w:val="22"/>
              <w:lang w:eastAsia="en-US"/>
            </w:rPr>
            <m:t>O→</m:t>
          </m:r>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Na</m:t>
                      </m:r>
                    </m:e>
                    <m:sub>
                      <m:r>
                        <w:rPr>
                          <w:rFonts w:ascii="Cambria Math" w:eastAsia="Calibri" w:hAnsi="Cambria Math" w:cs="Times New Roman"/>
                          <w:sz w:val="22"/>
                          <w:lang w:eastAsia="en-US"/>
                        </w:rPr>
                        <m:t>2</m:t>
                      </m:r>
                    </m:sub>
                  </m:sSub>
                  <m:r>
                    <w:rPr>
                      <w:rFonts w:ascii="Cambria Math" w:eastAsia="Calibri" w:hAnsi="Cambria Math" w:cs="Times New Roman"/>
                      <w:sz w:val="22"/>
                      <w:lang w:eastAsia="en-US"/>
                    </w:rPr>
                    <m:t>Si</m:t>
                  </m:r>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O</m:t>
                      </m:r>
                    </m:e>
                    <m:sub>
                      <m:r>
                        <w:rPr>
                          <w:rFonts w:ascii="Cambria Math" w:eastAsia="Calibri" w:hAnsi="Cambria Math" w:cs="Times New Roman"/>
                          <w:sz w:val="22"/>
                          <w:lang w:eastAsia="en-US"/>
                        </w:rPr>
                        <m:t>3</m:t>
                      </m:r>
                    </m:sub>
                  </m:sSub>
                </m:e>
              </m:d>
            </m:e>
            <m:sub>
              <m:r>
                <w:rPr>
                  <w:rFonts w:ascii="Cambria Math" w:eastAsia="Calibri" w:hAnsi="Cambria Math" w:cs="Times New Roman"/>
                  <w:sz w:val="22"/>
                  <w:lang w:eastAsia="en-US"/>
                </w:rPr>
                <m:t>aq</m:t>
              </m:r>
            </m:sub>
          </m:sSub>
          <m:r>
            <w:rPr>
              <w:rFonts w:ascii="Cambria Math" w:eastAsia="Calibri" w:hAnsi="Cambria Math" w:cs="Times New Roman"/>
              <w:sz w:val="22"/>
              <w:lang w:eastAsia="en-US"/>
            </w:rPr>
            <m:t>+2</m:t>
          </m:r>
          <m:sSub>
            <m:sSubPr>
              <m:ctrlPr>
                <w:rPr>
                  <w:rFonts w:ascii="Cambria Math" w:eastAsia="Calibri" w:hAnsi="Cambria Math" w:cs="Times New Roman"/>
                  <w:i/>
                  <w:sz w:val="22"/>
                  <w:lang w:eastAsia="en-US"/>
                </w:rPr>
              </m:ctrlPr>
            </m:sSubPr>
            <m:e>
              <m:d>
                <m:dPr>
                  <m:ctrlPr>
                    <w:rPr>
                      <w:rFonts w:ascii="Cambria Math" w:eastAsia="Calibri" w:hAnsi="Cambria Math" w:cs="Times New Roman"/>
                      <w:i/>
                      <w:sz w:val="22"/>
                      <w:lang w:eastAsia="en-US"/>
                    </w:rPr>
                  </m:ctrlPr>
                </m:dPr>
                <m:e>
                  <m:r>
                    <w:rPr>
                      <w:rFonts w:ascii="Cambria Math" w:eastAsia="Calibri" w:hAnsi="Cambria Math" w:cs="Times New Roman"/>
                      <w:sz w:val="22"/>
                      <w:lang w:eastAsia="en-US"/>
                    </w:rPr>
                    <m:t>Ca</m:t>
                  </m:r>
                  <m:sSub>
                    <m:sSubPr>
                      <m:ctrlPr>
                        <w:rPr>
                          <w:rFonts w:ascii="Cambria Math" w:eastAsia="Calibri" w:hAnsi="Cambria Math" w:cs="Times New Roman"/>
                          <w:i/>
                          <w:sz w:val="22"/>
                          <w:lang w:eastAsia="en-US"/>
                        </w:rPr>
                      </m:ctrlPr>
                    </m:sSubPr>
                    <m:e>
                      <m:r>
                        <w:rPr>
                          <w:rFonts w:ascii="Cambria Math" w:eastAsia="Calibri" w:hAnsi="Cambria Math" w:cs="Times New Roman"/>
                          <w:sz w:val="22"/>
                          <w:lang w:eastAsia="en-US"/>
                        </w:rPr>
                        <m:t>CO</m:t>
                      </m:r>
                    </m:e>
                    <m:sub>
                      <m:r>
                        <w:rPr>
                          <w:rFonts w:ascii="Cambria Math" w:eastAsia="Calibri" w:hAnsi="Cambria Math" w:cs="Times New Roman"/>
                          <w:sz w:val="22"/>
                          <w:lang w:eastAsia="en-US"/>
                        </w:rPr>
                        <m:t>3</m:t>
                      </m:r>
                    </m:sub>
                  </m:sSub>
                </m:e>
              </m:d>
            </m:e>
            <m:sub>
              <m:r>
                <w:rPr>
                  <w:rFonts w:ascii="Cambria Math" w:eastAsia="Calibri" w:hAnsi="Cambria Math" w:cs="Times New Roman"/>
                  <w:sz w:val="22"/>
                  <w:lang w:eastAsia="en-US"/>
                </w:rPr>
                <m:t>s</m:t>
              </m:r>
            </m:sub>
          </m:sSub>
          <m:r>
            <w:rPr>
              <w:rFonts w:ascii="Cambria Math" w:eastAsia="Calibri" w:hAnsi="Cambria Math" w:cs="Times New Roman"/>
              <w:sz w:val="22"/>
              <w:lang w:eastAsia="en-US"/>
            </w:rPr>
            <m:t>+2NaOH (4)</m:t>
          </m:r>
        </m:oMath>
      </m:oMathPara>
    </w:p>
    <w:p w:rsidR="00FE3793" w:rsidRDefault="00FE3793" w:rsidP="00CD7C40"/>
    <w:p w:rsidR="00CD7C40" w:rsidRPr="00BA7D7D" w:rsidRDefault="00A7264A" w:rsidP="00CD7C40">
      <w:r w:rsidRPr="00A7264A">
        <w:t>It is evident that the primary precipitate of the leaching process is calcium carbonate (CaCO</w:t>
      </w:r>
      <w:r w:rsidRPr="00A7264A">
        <w:rPr>
          <w:vertAlign w:val="subscript"/>
        </w:rPr>
        <w:t>3</w:t>
      </w:r>
      <w:r w:rsidRPr="00A7264A">
        <w:t xml:space="preserve">), which is expected to be the main phase present in the Grey Mud. Due to the complex chemistry of the process, some small amounts of </w:t>
      </w:r>
      <w:proofErr w:type="gramStart"/>
      <w:r w:rsidRPr="00A7264A">
        <w:t>Ca(</w:t>
      </w:r>
      <w:proofErr w:type="gramEnd"/>
      <w:r w:rsidRPr="00A7264A">
        <w:t>OH)</w:t>
      </w:r>
      <w:r w:rsidRPr="00A7264A">
        <w:rPr>
          <w:vertAlign w:val="subscript"/>
        </w:rPr>
        <w:t>2</w:t>
      </w:r>
      <w:r w:rsidRPr="00A7264A">
        <w:t xml:space="preserve"> and mixed silica-alumina-sodium precipitates might also be present. </w:t>
      </w:r>
      <w:r w:rsidR="00050577">
        <w:t xml:space="preserve"> </w:t>
      </w:r>
    </w:p>
    <w:p w:rsidR="00CD7C40" w:rsidRPr="00BA7D7D" w:rsidRDefault="00A7264A" w:rsidP="00CD7C40">
      <w:pPr>
        <w:pStyle w:val="Heading2"/>
      </w:pPr>
      <w:r w:rsidRPr="00A7264A">
        <w:t>Comparison of Grey Mud to Red Mud</w:t>
      </w:r>
    </w:p>
    <w:p w:rsidR="0018170A" w:rsidRDefault="00A25B59" w:rsidP="00A7264A">
      <w:pPr>
        <w:tabs>
          <w:tab w:val="left" w:pos="9930"/>
        </w:tabs>
      </w:pPr>
      <w:r>
        <w:t>A comparison</w:t>
      </w:r>
      <w:r w:rsidR="00A7264A" w:rsidRPr="00F675B0">
        <w:t xml:space="preserve"> between the Grey Mud of the Pedersen Process and the Red Mud of the Bayer Process reflect</w:t>
      </w:r>
      <w:r>
        <w:t>s</w:t>
      </w:r>
      <w:r w:rsidR="00A7264A" w:rsidRPr="00F675B0">
        <w:t xml:space="preserve"> the </w:t>
      </w:r>
      <w:r w:rsidR="00A12161">
        <w:t>fundamental</w:t>
      </w:r>
      <w:r w:rsidR="00A7264A" w:rsidRPr="00F675B0">
        <w:t xml:space="preserve"> differences of the</w:t>
      </w:r>
      <w:r>
        <w:t>se</w:t>
      </w:r>
      <w:r w:rsidR="00A7264A" w:rsidRPr="00F675B0">
        <w:t xml:space="preserve"> processes.</w:t>
      </w:r>
    </w:p>
    <w:p w:rsidR="00FE3793" w:rsidRDefault="00FE3793" w:rsidP="00765089">
      <w:pPr>
        <w:tabs>
          <w:tab w:val="left" w:pos="9930"/>
        </w:tabs>
      </w:pPr>
    </w:p>
    <w:p w:rsidR="00765089" w:rsidRDefault="001676E3" w:rsidP="00765089">
      <w:pPr>
        <w:tabs>
          <w:tab w:val="left" w:pos="9930"/>
        </w:tabs>
      </w:pPr>
      <w:r w:rsidRPr="00F675B0">
        <w:t xml:space="preserve">In terms of composition, it has already been mentioned that the main ingredient of Grey Mud is the calcium carbonate. As the leaching process can never lead to complete extraction of the alumina </w:t>
      </w:r>
      <w:r>
        <w:t xml:space="preserve">from </w:t>
      </w:r>
      <w:r w:rsidRPr="00F675B0">
        <w:t xml:space="preserve">the slag, a </w:t>
      </w:r>
      <w:r>
        <w:t>portion</w:t>
      </w:r>
      <w:r w:rsidRPr="00F675B0">
        <w:t xml:space="preserve"> of unreacted alumina, silica and calcia is certain</w:t>
      </w:r>
      <w:r w:rsidR="00324927">
        <w:t>ly</w:t>
      </w:r>
      <w:r w:rsidRPr="00F675B0">
        <w:t xml:space="preserve"> to be present in Grey Mud. Along with these components</w:t>
      </w:r>
      <w:r>
        <w:t>,</w:t>
      </w:r>
      <w:r w:rsidRPr="00F675B0">
        <w:t xml:space="preserve"> the insoluble compounds of the slag and some minor soda losses are to be expected. A </w:t>
      </w:r>
      <w:r w:rsidRPr="00F675B0">
        <w:lastRenderedPageBreak/>
        <w:t>theoretical</w:t>
      </w:r>
      <w:r w:rsidR="007343F0">
        <w:t>ly</w:t>
      </w:r>
      <w:r w:rsidRPr="00F675B0">
        <w:t xml:space="preserve"> estimated composition of a typical Grey Mud is presented in Figure </w:t>
      </w:r>
      <w:r w:rsidR="00765089">
        <w:t>3</w:t>
      </w:r>
      <w:r w:rsidR="00A12161">
        <w:t xml:space="preserve"> (</w:t>
      </w:r>
      <w:r w:rsidRPr="00F675B0">
        <w:t>actual percentages may vary depending on</w:t>
      </w:r>
      <w:r w:rsidR="00100AF9">
        <w:t xml:space="preserve"> the </w:t>
      </w:r>
      <w:r w:rsidR="00A12161">
        <w:t xml:space="preserve">composition of </w:t>
      </w:r>
      <w:r w:rsidRPr="00F675B0">
        <w:t>the initial bauxite</w:t>
      </w:r>
      <w:r w:rsidR="00A12161">
        <w:t>)</w:t>
      </w:r>
      <w:r w:rsidRPr="00F675B0">
        <w:t>.</w:t>
      </w:r>
    </w:p>
    <w:p w:rsidR="00A12161" w:rsidRDefault="00765089" w:rsidP="008F5B3C">
      <w:pPr>
        <w:tabs>
          <w:tab w:val="left" w:pos="9930"/>
        </w:tabs>
      </w:pPr>
      <w:r w:rsidRPr="00F675B0">
        <w:t>In compari</w:t>
      </w:r>
      <w:r>
        <w:t>son with a typical Red Mud, which</w:t>
      </w:r>
      <w:r w:rsidRPr="00F675B0">
        <w:t xml:space="preserve"> dominant components are </w:t>
      </w:r>
      <w:r w:rsidR="00A12161">
        <w:t>Fe-</w:t>
      </w:r>
      <w:r w:rsidRPr="00F675B0">
        <w:t xml:space="preserve"> and </w:t>
      </w:r>
      <w:r w:rsidR="00A12161">
        <w:t>Al-</w:t>
      </w:r>
      <w:r w:rsidRPr="00F675B0">
        <w:t xml:space="preserve">oxides, there is virtually no iron present in the </w:t>
      </w:r>
      <w:r>
        <w:t>Grey M</w:t>
      </w:r>
      <w:r w:rsidRPr="00F675B0">
        <w:t>ud. In addition the alumina and sodium losses are expected to be lower.</w:t>
      </w:r>
      <w:r w:rsidR="008F5B3C">
        <w:t xml:space="preserve"> </w:t>
      </w:r>
      <w:r w:rsidR="00A12161" w:rsidRPr="00F675B0">
        <w:t>In terms of production, Grey Mud is expected to be produced in large quantities at an industrial scale. Data from the industrial operations at the plant in Norway suggest that the amount of Grey Mud produced was to two times as much as th</w:t>
      </w:r>
      <w:r w:rsidR="00A12161">
        <w:t>at</w:t>
      </w:r>
      <w:r w:rsidR="00A12161" w:rsidRPr="00F675B0">
        <w:t xml:space="preserve"> of alumina produced. Red Mud production on the other hand is usually of equal amount to the alumina produced in a typical Bayer plant.</w:t>
      </w:r>
      <w:r w:rsidR="00A12161" w:rsidRPr="00A7264A">
        <w:rPr>
          <w:vertAlign w:val="superscript"/>
        </w:rPr>
        <w:t>5</w:t>
      </w:r>
    </w:p>
    <w:p w:rsidR="00A12161" w:rsidRDefault="00A12161" w:rsidP="00A7264A">
      <w:pPr>
        <w:tabs>
          <w:tab w:val="left" w:pos="9930"/>
        </w:tabs>
      </w:pPr>
    </w:p>
    <w:p w:rsidR="0018170A" w:rsidRDefault="00340243" w:rsidP="0018170A">
      <w:pPr>
        <w:jc w:val="center"/>
      </w:pPr>
      <w:r w:rsidRPr="006C3E47">
        <w:rPr>
          <w:noProof/>
          <w:lang w:val="en-US" w:eastAsia="en-US"/>
        </w:rPr>
        <w:drawing>
          <wp:inline distT="0" distB="0" distL="0" distR="0">
            <wp:extent cx="3844925" cy="255587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4925" cy="2555875"/>
                    </a:xfrm>
                    <a:prstGeom prst="rect">
                      <a:avLst/>
                    </a:prstGeom>
                    <a:noFill/>
                    <a:ln>
                      <a:noFill/>
                    </a:ln>
                  </pic:spPr>
                </pic:pic>
              </a:graphicData>
            </a:graphic>
          </wp:inline>
        </w:drawing>
      </w:r>
    </w:p>
    <w:p w:rsidR="0018170A" w:rsidRDefault="0018170A" w:rsidP="0018170A">
      <w:pPr>
        <w:tabs>
          <w:tab w:val="left" w:pos="9930"/>
        </w:tabs>
        <w:jc w:val="center"/>
      </w:pPr>
      <w:r>
        <w:rPr>
          <w:b/>
        </w:rPr>
        <w:t xml:space="preserve">Figure </w:t>
      </w:r>
      <w:r w:rsidR="00765089">
        <w:rPr>
          <w:b/>
        </w:rPr>
        <w:t>3</w:t>
      </w:r>
      <w:r w:rsidRPr="00E27D22">
        <w:rPr>
          <w:b/>
        </w:rPr>
        <w:t>:</w:t>
      </w:r>
      <w:r w:rsidRPr="00BA7D7D">
        <w:t xml:space="preserve"> </w:t>
      </w:r>
      <w:r w:rsidRPr="006C3E47">
        <w:t>Theoretical estimation of composition of a typical Grey Mud.</w:t>
      </w:r>
    </w:p>
    <w:p w:rsidR="00CD7C40" w:rsidRDefault="00CD7C40" w:rsidP="00A7264A"/>
    <w:p w:rsidR="00A12161" w:rsidRDefault="00A12161" w:rsidP="00A12161">
      <w:r w:rsidRPr="00F675B0">
        <w:t xml:space="preserve">The massive production of Grey Mud however didn’t cause any environmental concerns and was </w:t>
      </w:r>
      <w:r>
        <w:t>safely disposed</w:t>
      </w:r>
      <w:r w:rsidRPr="00F675B0">
        <w:t xml:space="preserve">, as it was of low alkalinity and practically inert. This, of course, is not the case with the Red Mud, which </w:t>
      </w:r>
      <w:r w:rsidR="001741E4" w:rsidRPr="001741E4">
        <w:t>has to be properly washed and dewatered</w:t>
      </w:r>
      <w:r w:rsidR="001741E4">
        <w:t>,</w:t>
      </w:r>
      <w:r>
        <w:t xml:space="preserve"> before being </w:t>
      </w:r>
      <w:r w:rsidRPr="00F675B0">
        <w:t xml:space="preserve">dry stacked at a suitable storage site. </w:t>
      </w:r>
      <w:r w:rsidR="008F5B3C">
        <w:t>These points</w:t>
      </w:r>
      <w:r w:rsidRPr="00F675B0">
        <w:t xml:space="preserve"> are summarised in Table 2.</w:t>
      </w:r>
    </w:p>
    <w:p w:rsidR="006C3E47" w:rsidRPr="00BA7D7D" w:rsidRDefault="006C3E47" w:rsidP="00A7264A"/>
    <w:p w:rsidR="006C3E47" w:rsidRDefault="006C3E47" w:rsidP="006C3E47">
      <w:pPr>
        <w:jc w:val="center"/>
        <w:rPr>
          <w:rFonts w:eastAsia="Calibri" w:cs="Times New Roman"/>
          <w:sz w:val="22"/>
          <w:lang w:eastAsia="en-US"/>
        </w:rPr>
      </w:pPr>
      <w:r w:rsidRPr="00660A85">
        <w:rPr>
          <w:b/>
        </w:rPr>
        <w:t xml:space="preserve">Table </w:t>
      </w:r>
      <w:r>
        <w:rPr>
          <w:b/>
        </w:rPr>
        <w:t>2</w:t>
      </w:r>
      <w:r w:rsidRPr="00660A85">
        <w:rPr>
          <w:b/>
        </w:rPr>
        <w:t>:</w:t>
      </w:r>
      <w:r w:rsidRPr="00BA7D7D">
        <w:t xml:space="preserve"> </w:t>
      </w:r>
      <w:r w:rsidRPr="006C3E47">
        <w:rPr>
          <w:rFonts w:eastAsia="Calibri" w:cs="Times New Roman"/>
          <w:sz w:val="22"/>
          <w:lang w:eastAsia="en-US"/>
        </w:rPr>
        <w:t>Grey Mud and Red Mud Fundamental Properties</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126"/>
        <w:gridCol w:w="2977"/>
      </w:tblGrid>
      <w:tr w:rsidR="006C3E47" w:rsidRPr="003F03E1" w:rsidTr="00403ED7">
        <w:trPr>
          <w:trHeight w:val="397"/>
          <w:jc w:val="center"/>
        </w:trPr>
        <w:tc>
          <w:tcPr>
            <w:tcW w:w="2122" w:type="dxa"/>
            <w:tcBorders>
              <w:top w:val="nil"/>
              <w:left w:val="nil"/>
            </w:tcBorders>
            <w:shd w:val="clear" w:color="auto" w:fill="auto"/>
          </w:tcPr>
          <w:p w:rsidR="006C3E47" w:rsidRPr="003F03E1" w:rsidRDefault="006C3E47" w:rsidP="00403ED7">
            <w:pPr>
              <w:tabs>
                <w:tab w:val="left" w:pos="9930"/>
              </w:tabs>
            </w:pPr>
          </w:p>
        </w:tc>
        <w:tc>
          <w:tcPr>
            <w:tcW w:w="2126" w:type="dxa"/>
            <w:shd w:val="clear" w:color="auto" w:fill="auto"/>
          </w:tcPr>
          <w:p w:rsidR="006C3E47" w:rsidRPr="003F03E1" w:rsidRDefault="006C3E47" w:rsidP="00403ED7">
            <w:pPr>
              <w:tabs>
                <w:tab w:val="left" w:pos="9930"/>
              </w:tabs>
              <w:jc w:val="center"/>
            </w:pPr>
            <w:r w:rsidRPr="003F03E1">
              <w:t>Grey Mud</w:t>
            </w:r>
          </w:p>
        </w:tc>
        <w:tc>
          <w:tcPr>
            <w:tcW w:w="2977" w:type="dxa"/>
            <w:shd w:val="clear" w:color="auto" w:fill="auto"/>
          </w:tcPr>
          <w:p w:rsidR="006C3E47" w:rsidRPr="003F03E1" w:rsidRDefault="006C3E47" w:rsidP="00403ED7">
            <w:pPr>
              <w:tabs>
                <w:tab w:val="left" w:pos="9930"/>
              </w:tabs>
              <w:jc w:val="center"/>
            </w:pPr>
            <w:r w:rsidRPr="003F03E1">
              <w:t>Red Mud</w:t>
            </w:r>
          </w:p>
        </w:tc>
      </w:tr>
      <w:tr w:rsidR="006C3E47" w:rsidRPr="003F03E1" w:rsidTr="00403ED7">
        <w:trPr>
          <w:trHeight w:val="397"/>
          <w:jc w:val="center"/>
        </w:trPr>
        <w:tc>
          <w:tcPr>
            <w:tcW w:w="2122" w:type="dxa"/>
            <w:shd w:val="clear" w:color="auto" w:fill="auto"/>
          </w:tcPr>
          <w:p w:rsidR="006C3E47" w:rsidRPr="003F03E1" w:rsidRDefault="006C3E47" w:rsidP="00403ED7">
            <w:pPr>
              <w:tabs>
                <w:tab w:val="left" w:pos="9930"/>
              </w:tabs>
            </w:pPr>
            <w:r w:rsidRPr="003F03E1">
              <w:t>Main Components</w:t>
            </w:r>
          </w:p>
        </w:tc>
        <w:tc>
          <w:tcPr>
            <w:tcW w:w="2126" w:type="dxa"/>
            <w:shd w:val="clear" w:color="auto" w:fill="auto"/>
          </w:tcPr>
          <w:p w:rsidR="006C3E47" w:rsidRPr="003F03E1" w:rsidRDefault="006C3E47" w:rsidP="00403ED7">
            <w:pPr>
              <w:tabs>
                <w:tab w:val="left" w:pos="9930"/>
              </w:tabs>
              <w:jc w:val="center"/>
            </w:pPr>
            <w:r w:rsidRPr="003F03E1">
              <w:t>CaCO</w:t>
            </w:r>
            <w:r w:rsidRPr="00403ED7">
              <w:rPr>
                <w:vertAlign w:val="subscript"/>
              </w:rPr>
              <w:t>3</w:t>
            </w:r>
            <w:r w:rsidRPr="003F03E1">
              <w:t>, Al</w:t>
            </w:r>
            <w:r w:rsidRPr="00403ED7">
              <w:rPr>
                <w:vertAlign w:val="subscript"/>
              </w:rPr>
              <w:t>2</w:t>
            </w:r>
            <w:r w:rsidRPr="003F03E1">
              <w:t>O</w:t>
            </w:r>
            <w:r w:rsidRPr="00403ED7">
              <w:rPr>
                <w:vertAlign w:val="subscript"/>
              </w:rPr>
              <w:t>3</w:t>
            </w:r>
            <w:r w:rsidRPr="003F03E1">
              <w:t>, SiO</w:t>
            </w:r>
            <w:r w:rsidRPr="00403ED7">
              <w:rPr>
                <w:vertAlign w:val="subscript"/>
              </w:rPr>
              <w:t>2</w:t>
            </w:r>
          </w:p>
        </w:tc>
        <w:tc>
          <w:tcPr>
            <w:tcW w:w="2977" w:type="dxa"/>
            <w:shd w:val="clear" w:color="auto" w:fill="auto"/>
          </w:tcPr>
          <w:p w:rsidR="006C3E47" w:rsidRPr="003F03E1" w:rsidRDefault="006C3E47" w:rsidP="00403ED7">
            <w:pPr>
              <w:tabs>
                <w:tab w:val="left" w:pos="9930"/>
              </w:tabs>
              <w:jc w:val="center"/>
            </w:pPr>
            <w:r w:rsidRPr="003F03E1">
              <w:t>Fe-Oxides, Al</w:t>
            </w:r>
            <w:r w:rsidRPr="00403ED7">
              <w:rPr>
                <w:vertAlign w:val="subscript"/>
              </w:rPr>
              <w:t>2</w:t>
            </w:r>
            <w:r w:rsidRPr="003F03E1">
              <w:t>O</w:t>
            </w:r>
            <w:r w:rsidRPr="00403ED7">
              <w:rPr>
                <w:vertAlign w:val="subscript"/>
              </w:rPr>
              <w:t>3</w:t>
            </w:r>
            <w:r w:rsidRPr="003F03E1">
              <w:t>, SiO</w:t>
            </w:r>
            <w:r w:rsidRPr="00403ED7">
              <w:rPr>
                <w:vertAlign w:val="subscript"/>
              </w:rPr>
              <w:t>2</w:t>
            </w:r>
          </w:p>
        </w:tc>
      </w:tr>
      <w:tr w:rsidR="006C3E47" w:rsidRPr="003F03E1" w:rsidTr="00403ED7">
        <w:trPr>
          <w:trHeight w:val="397"/>
          <w:jc w:val="center"/>
        </w:trPr>
        <w:tc>
          <w:tcPr>
            <w:tcW w:w="2122" w:type="dxa"/>
            <w:shd w:val="clear" w:color="auto" w:fill="auto"/>
          </w:tcPr>
          <w:p w:rsidR="006C3E47" w:rsidRPr="003F03E1" w:rsidRDefault="006C3E47" w:rsidP="00403ED7">
            <w:pPr>
              <w:tabs>
                <w:tab w:val="left" w:pos="9930"/>
              </w:tabs>
            </w:pPr>
            <w:r w:rsidRPr="003F03E1">
              <w:t>Alumina Losses</w:t>
            </w:r>
          </w:p>
        </w:tc>
        <w:tc>
          <w:tcPr>
            <w:tcW w:w="2126" w:type="dxa"/>
            <w:shd w:val="clear" w:color="auto" w:fill="auto"/>
          </w:tcPr>
          <w:p w:rsidR="006C3E47" w:rsidRPr="003F03E1" w:rsidRDefault="006C3E47" w:rsidP="00403ED7">
            <w:pPr>
              <w:tabs>
                <w:tab w:val="left" w:pos="9930"/>
              </w:tabs>
              <w:jc w:val="center"/>
            </w:pPr>
            <w:r w:rsidRPr="003F03E1">
              <w:t>Low</w:t>
            </w:r>
          </w:p>
        </w:tc>
        <w:tc>
          <w:tcPr>
            <w:tcW w:w="2977" w:type="dxa"/>
            <w:shd w:val="clear" w:color="auto" w:fill="auto"/>
          </w:tcPr>
          <w:p w:rsidR="006C3E47" w:rsidRPr="003F03E1" w:rsidRDefault="006C3E47" w:rsidP="00403ED7">
            <w:pPr>
              <w:tabs>
                <w:tab w:val="left" w:pos="9930"/>
              </w:tabs>
              <w:jc w:val="center"/>
            </w:pPr>
            <w:r w:rsidRPr="003F03E1">
              <w:t>Moderate</w:t>
            </w:r>
          </w:p>
        </w:tc>
      </w:tr>
      <w:tr w:rsidR="006C3E47" w:rsidRPr="003F03E1" w:rsidTr="00403ED7">
        <w:trPr>
          <w:trHeight w:val="397"/>
          <w:jc w:val="center"/>
        </w:trPr>
        <w:tc>
          <w:tcPr>
            <w:tcW w:w="2122" w:type="dxa"/>
            <w:shd w:val="clear" w:color="auto" w:fill="auto"/>
          </w:tcPr>
          <w:p w:rsidR="006C3E47" w:rsidRPr="003F03E1" w:rsidRDefault="006C3E47" w:rsidP="00403ED7">
            <w:pPr>
              <w:tabs>
                <w:tab w:val="left" w:pos="9930"/>
              </w:tabs>
            </w:pPr>
            <w:r w:rsidRPr="003F03E1">
              <w:t>Soda Losses</w:t>
            </w:r>
          </w:p>
        </w:tc>
        <w:tc>
          <w:tcPr>
            <w:tcW w:w="2126" w:type="dxa"/>
            <w:shd w:val="clear" w:color="auto" w:fill="auto"/>
          </w:tcPr>
          <w:p w:rsidR="006C3E47" w:rsidRPr="003F03E1" w:rsidRDefault="006C3E47" w:rsidP="00403ED7">
            <w:pPr>
              <w:tabs>
                <w:tab w:val="left" w:pos="9930"/>
              </w:tabs>
              <w:jc w:val="center"/>
            </w:pPr>
            <w:r w:rsidRPr="003F03E1">
              <w:t>Low</w:t>
            </w:r>
          </w:p>
        </w:tc>
        <w:tc>
          <w:tcPr>
            <w:tcW w:w="2977" w:type="dxa"/>
            <w:shd w:val="clear" w:color="auto" w:fill="auto"/>
          </w:tcPr>
          <w:p w:rsidR="006C3E47" w:rsidRPr="003F03E1" w:rsidRDefault="006C3E47" w:rsidP="00403ED7">
            <w:pPr>
              <w:tabs>
                <w:tab w:val="left" w:pos="9930"/>
              </w:tabs>
              <w:jc w:val="center"/>
            </w:pPr>
            <w:r w:rsidRPr="003F03E1">
              <w:t>Low to Moderate</w:t>
            </w:r>
          </w:p>
        </w:tc>
      </w:tr>
      <w:tr w:rsidR="006C3E47" w:rsidRPr="003F03E1" w:rsidTr="00403ED7">
        <w:trPr>
          <w:trHeight w:val="397"/>
          <w:jc w:val="center"/>
        </w:trPr>
        <w:tc>
          <w:tcPr>
            <w:tcW w:w="2122" w:type="dxa"/>
            <w:shd w:val="clear" w:color="auto" w:fill="auto"/>
          </w:tcPr>
          <w:p w:rsidR="006C3E47" w:rsidRPr="003F03E1" w:rsidRDefault="006C3E47" w:rsidP="00403ED7">
            <w:pPr>
              <w:tabs>
                <w:tab w:val="left" w:pos="9930"/>
              </w:tabs>
            </w:pPr>
            <w:r w:rsidRPr="003F03E1">
              <w:t xml:space="preserve">Mud : Alumina </w:t>
            </w:r>
          </w:p>
        </w:tc>
        <w:tc>
          <w:tcPr>
            <w:tcW w:w="2126" w:type="dxa"/>
            <w:shd w:val="clear" w:color="auto" w:fill="auto"/>
          </w:tcPr>
          <w:p w:rsidR="006C3E47" w:rsidRPr="003F03E1" w:rsidRDefault="006C3E47" w:rsidP="00403ED7">
            <w:pPr>
              <w:tabs>
                <w:tab w:val="left" w:pos="9930"/>
              </w:tabs>
              <w:jc w:val="center"/>
            </w:pPr>
            <w:r w:rsidRPr="003F03E1">
              <w:t>2:1</w:t>
            </w:r>
          </w:p>
        </w:tc>
        <w:tc>
          <w:tcPr>
            <w:tcW w:w="2977" w:type="dxa"/>
            <w:shd w:val="clear" w:color="auto" w:fill="auto"/>
          </w:tcPr>
          <w:p w:rsidR="006C3E47" w:rsidRPr="003F03E1" w:rsidRDefault="006C3E47" w:rsidP="00403ED7">
            <w:pPr>
              <w:tabs>
                <w:tab w:val="left" w:pos="9930"/>
              </w:tabs>
              <w:jc w:val="center"/>
            </w:pPr>
            <w:r w:rsidRPr="003F03E1">
              <w:t>1:1</w:t>
            </w:r>
          </w:p>
        </w:tc>
      </w:tr>
      <w:tr w:rsidR="006C3E47" w:rsidRPr="003F03E1" w:rsidTr="00403ED7">
        <w:trPr>
          <w:trHeight w:val="397"/>
          <w:jc w:val="center"/>
        </w:trPr>
        <w:tc>
          <w:tcPr>
            <w:tcW w:w="2122" w:type="dxa"/>
            <w:shd w:val="clear" w:color="auto" w:fill="auto"/>
          </w:tcPr>
          <w:p w:rsidR="006C3E47" w:rsidRPr="003F03E1" w:rsidRDefault="006C3E47" w:rsidP="00403ED7">
            <w:pPr>
              <w:tabs>
                <w:tab w:val="left" w:pos="9930"/>
              </w:tabs>
            </w:pPr>
            <w:r w:rsidRPr="003F03E1">
              <w:t>Alkalinity</w:t>
            </w:r>
          </w:p>
        </w:tc>
        <w:tc>
          <w:tcPr>
            <w:tcW w:w="2126" w:type="dxa"/>
            <w:shd w:val="clear" w:color="auto" w:fill="auto"/>
          </w:tcPr>
          <w:p w:rsidR="006C3E47" w:rsidRPr="003F03E1" w:rsidRDefault="006C3E47" w:rsidP="00403ED7">
            <w:pPr>
              <w:tabs>
                <w:tab w:val="left" w:pos="9930"/>
              </w:tabs>
              <w:jc w:val="center"/>
            </w:pPr>
            <w:r w:rsidRPr="003F03E1">
              <w:t>Low</w:t>
            </w:r>
          </w:p>
        </w:tc>
        <w:tc>
          <w:tcPr>
            <w:tcW w:w="2977" w:type="dxa"/>
            <w:shd w:val="clear" w:color="auto" w:fill="auto"/>
          </w:tcPr>
          <w:p w:rsidR="006C3E47" w:rsidRPr="003F03E1" w:rsidRDefault="006C3E47" w:rsidP="00403ED7">
            <w:pPr>
              <w:tabs>
                <w:tab w:val="left" w:pos="9930"/>
              </w:tabs>
              <w:jc w:val="center"/>
            </w:pPr>
            <w:r w:rsidRPr="003F03E1">
              <w:t>High</w:t>
            </w:r>
          </w:p>
        </w:tc>
      </w:tr>
    </w:tbl>
    <w:p w:rsidR="00765089" w:rsidRDefault="00765089" w:rsidP="00765089"/>
    <w:p w:rsidR="00CD7C40" w:rsidRPr="00BA7D7D" w:rsidRDefault="00DF3E4A" w:rsidP="00CD7C40">
      <w:pPr>
        <w:pStyle w:val="Heading2"/>
      </w:pPr>
      <w:r>
        <w:lastRenderedPageBreak/>
        <w:t>Potential</w:t>
      </w:r>
      <w:r w:rsidR="00A7264A" w:rsidRPr="00A7264A">
        <w:t xml:space="preserve"> for Grey Mud Valorisation</w:t>
      </w:r>
    </w:p>
    <w:p w:rsidR="00A7264A" w:rsidRPr="00A7264A" w:rsidRDefault="00765089" w:rsidP="00A7264A">
      <w:r>
        <w:t>I</w:t>
      </w:r>
      <w:r w:rsidR="00A7264A" w:rsidRPr="00A7264A">
        <w:t xml:space="preserve">ts massive production and calcium based composition suggest that </w:t>
      </w:r>
      <w:r>
        <w:t xml:space="preserve">Grey Mud </w:t>
      </w:r>
      <w:r w:rsidR="00A7264A" w:rsidRPr="00A7264A">
        <w:t>could be directly valorised. An important task of the ENSUREAL project is to assess possible valorisation routes. Research will be directed towards the following areas:</w:t>
      </w:r>
    </w:p>
    <w:p w:rsidR="00A7264A" w:rsidRPr="00A7264A" w:rsidRDefault="00A7264A" w:rsidP="00A7264A">
      <w:pPr>
        <w:numPr>
          <w:ilvl w:val="0"/>
          <w:numId w:val="11"/>
        </w:numPr>
      </w:pPr>
      <w:r w:rsidRPr="00A7264A">
        <w:rPr>
          <w:b/>
        </w:rPr>
        <w:t xml:space="preserve">Agriculture/Construction sector/High added value applications: </w:t>
      </w:r>
      <w:r w:rsidR="00765089">
        <w:t>Suitability of</w:t>
      </w:r>
      <w:r w:rsidRPr="00A7264A">
        <w:t xml:space="preserve"> for</w:t>
      </w:r>
      <w:r w:rsidR="00765089">
        <w:t xml:space="preserve"> these applications will be assessed.</w:t>
      </w:r>
    </w:p>
    <w:p w:rsidR="00A7264A" w:rsidRPr="00A7264A" w:rsidRDefault="00A7264A" w:rsidP="00A7264A">
      <w:pPr>
        <w:numPr>
          <w:ilvl w:val="0"/>
          <w:numId w:val="11"/>
        </w:numPr>
      </w:pPr>
      <w:r w:rsidRPr="00A7264A">
        <w:rPr>
          <w:b/>
        </w:rPr>
        <w:t>Industrial use/reuse:</w:t>
      </w:r>
      <w:r w:rsidRPr="00A7264A">
        <w:t xml:space="preserve"> Decomposing </w:t>
      </w:r>
      <w:r w:rsidR="00A25B59">
        <w:t>Grey Mud</w:t>
      </w:r>
      <w:r w:rsidRPr="00A7264A">
        <w:t xml:space="preserve"> to lime and CO</w:t>
      </w:r>
      <w:r w:rsidRPr="00A7264A">
        <w:rPr>
          <w:vertAlign w:val="subscript"/>
        </w:rPr>
        <w:t>2</w:t>
      </w:r>
      <w:r w:rsidRPr="00A7264A">
        <w:t xml:space="preserve"> could lower lime and CO</w:t>
      </w:r>
      <w:r w:rsidRPr="00A7264A">
        <w:rPr>
          <w:vertAlign w:val="subscript"/>
        </w:rPr>
        <w:t>2</w:t>
      </w:r>
      <w:r w:rsidR="00A25B59">
        <w:t xml:space="preserve"> costs for an industrial application.</w:t>
      </w:r>
    </w:p>
    <w:p w:rsidR="00A7264A" w:rsidRDefault="00A7264A" w:rsidP="00A7264A">
      <w:pPr>
        <w:numPr>
          <w:ilvl w:val="0"/>
          <w:numId w:val="11"/>
        </w:numPr>
      </w:pPr>
      <w:r w:rsidRPr="00A7264A">
        <w:rPr>
          <w:b/>
        </w:rPr>
        <w:t>REE</w:t>
      </w:r>
      <w:r w:rsidR="00A25B59">
        <w:rPr>
          <w:b/>
        </w:rPr>
        <w:t>’</w:t>
      </w:r>
      <w:r w:rsidRPr="00A7264A">
        <w:rPr>
          <w:b/>
        </w:rPr>
        <w:t>s extraction:</w:t>
      </w:r>
      <w:r w:rsidRPr="00A7264A">
        <w:t xml:space="preserve"> </w:t>
      </w:r>
      <w:r w:rsidR="00765089">
        <w:t>Grey Mud, under specific conditions, could be regarded as a secondary REE’s resource. Greek Bauxites present this potential.</w:t>
      </w:r>
    </w:p>
    <w:p w:rsidR="00A7264A" w:rsidRPr="00A7264A" w:rsidRDefault="00A7264A" w:rsidP="00A7264A">
      <w:pPr>
        <w:pStyle w:val="Heading3"/>
      </w:pPr>
      <w:r w:rsidRPr="00A7264A">
        <w:t>The Greek Bauxite Case: Grey Mud as REEs Source</w:t>
      </w:r>
    </w:p>
    <w:p w:rsidR="006C3E47" w:rsidRDefault="00765089" w:rsidP="0018170A">
      <w:pPr>
        <w:tabs>
          <w:tab w:val="left" w:pos="9930"/>
        </w:tabs>
        <w:rPr>
          <w:lang w:val="en-US"/>
        </w:rPr>
      </w:pPr>
      <w:r w:rsidRPr="0048089B">
        <w:rPr>
          <w:lang w:val="en-US"/>
        </w:rPr>
        <w:t>REE</w:t>
      </w:r>
      <w:r>
        <w:rPr>
          <w:lang w:val="en-US"/>
        </w:rPr>
        <w:t>’s</w:t>
      </w:r>
      <w:r w:rsidRPr="0048089B">
        <w:rPr>
          <w:lang w:val="en-US"/>
        </w:rPr>
        <w:t xml:space="preserve"> concentration in Greek Bauxite ore and Bauxite Residue produced has been found to be fairly constant with only 8% variation over a period of 15 years indicating a reliable secondary </w:t>
      </w:r>
      <w:r>
        <w:t>REE’s</w:t>
      </w:r>
      <w:r w:rsidRPr="0048089B">
        <w:rPr>
          <w:lang w:val="en-US"/>
        </w:rPr>
        <w:t xml:space="preserve"> resource.</w:t>
      </w:r>
      <w:r>
        <w:rPr>
          <w:lang w:val="en-US"/>
        </w:rPr>
        <w:t xml:space="preserve"> For this reason, </w:t>
      </w:r>
      <w:r>
        <w:t>t</w:t>
      </w:r>
      <w:r w:rsidR="00A7264A">
        <w:t>here is vivid and ongoing work undertaken in NTUA, in cooperation with the Aluminium of Greece for the utilization of Red Mud from Greek bauxites as REE</w:t>
      </w:r>
      <w:r w:rsidR="004E55A3">
        <w:t>’</w:t>
      </w:r>
      <w:r w:rsidR="00A7264A">
        <w:t>s source.</w:t>
      </w:r>
      <w:r w:rsidR="00A7264A" w:rsidRPr="002C28AC">
        <w:rPr>
          <w:vertAlign w:val="superscript"/>
        </w:rPr>
        <w:t>6</w:t>
      </w:r>
      <w:r w:rsidR="00A7264A">
        <w:t xml:space="preserve"> </w:t>
      </w:r>
      <w:r w:rsidR="004E55A3">
        <w:t>REE’s</w:t>
      </w:r>
      <w:r w:rsidR="00A7264A" w:rsidRPr="0048089B">
        <w:rPr>
          <w:lang w:val="en-US"/>
        </w:rPr>
        <w:t xml:space="preserve"> extraction by direct hydrometallurgical treatment or combined pyro-hydrometallurgical treatment from Bauxite </w:t>
      </w:r>
      <w:r w:rsidR="00A7264A" w:rsidRPr="00A7264A">
        <w:t>residue</w:t>
      </w:r>
      <w:r w:rsidR="00A7264A">
        <w:t xml:space="preserve"> has been thoroughly studied.</w:t>
      </w:r>
      <w:r w:rsidR="00A7264A">
        <w:rPr>
          <w:vertAlign w:val="superscript"/>
        </w:rPr>
        <w:t>7</w:t>
      </w:r>
      <w:r w:rsidR="00A7264A" w:rsidRPr="0048089B">
        <w:rPr>
          <w:lang w:val="en-US"/>
        </w:rPr>
        <w:t xml:space="preserve"> Mineral acid leaching provides high recovery yields but in many cases large concentration of co-dissolved metals interfere with the downstream </w:t>
      </w:r>
      <w:r w:rsidR="004E55A3">
        <w:t>REE’s</w:t>
      </w:r>
      <w:r w:rsidR="00A7264A" w:rsidRPr="0048089B">
        <w:rPr>
          <w:lang w:val="en-US"/>
        </w:rPr>
        <w:t xml:space="preserve"> purification process. Furthermore, during slag leaching with alkaline solutions </w:t>
      </w:r>
      <w:r w:rsidR="004E55A3">
        <w:t>REE’s</w:t>
      </w:r>
      <w:r w:rsidR="00A7264A" w:rsidRPr="0048089B">
        <w:rPr>
          <w:lang w:val="en-US"/>
        </w:rPr>
        <w:t xml:space="preserve"> remain unaffected and accumulate in the residue which in this case resembles grey mud. These findings indicate that the generated grey mud from Pedersen process is expected to have substantially increased </w:t>
      </w:r>
      <w:r w:rsidR="004E55A3">
        <w:t>REE’s</w:t>
      </w:r>
      <w:r w:rsidR="00A7264A" w:rsidRPr="0048089B">
        <w:rPr>
          <w:lang w:val="en-US"/>
        </w:rPr>
        <w:t xml:space="preserve"> concentration compared to the initial feeding material, and to be depleted from main elements such as Fe and Al. Therefore during leaching of grey mud a significant barrier of large impurity co-dissolution can be confined. REE</w:t>
      </w:r>
      <w:r>
        <w:rPr>
          <w:lang w:val="en-US"/>
        </w:rPr>
        <w:t>’s</w:t>
      </w:r>
      <w:r w:rsidR="00A7264A" w:rsidRPr="0048089B">
        <w:rPr>
          <w:lang w:val="en-US"/>
        </w:rPr>
        <w:t xml:space="preserve"> extraction from grey mud can have a significant</w:t>
      </w:r>
      <w:r w:rsidR="00A7264A">
        <w:t xml:space="preserve"> impact on European REE supply</w:t>
      </w:r>
      <w:r w:rsidR="00A7264A" w:rsidRPr="002C28AC">
        <w:rPr>
          <w:vertAlign w:val="superscript"/>
        </w:rPr>
        <w:t>8</w:t>
      </w:r>
      <w:r w:rsidR="00A7264A" w:rsidRPr="0048089B">
        <w:rPr>
          <w:lang w:val="en-US"/>
        </w:rPr>
        <w:t xml:space="preserve"> as well as decreasing waste produce from the described process.</w:t>
      </w:r>
    </w:p>
    <w:p w:rsidR="00FE3793" w:rsidRDefault="00FE3793" w:rsidP="0018170A">
      <w:pPr>
        <w:tabs>
          <w:tab w:val="left" w:pos="9930"/>
        </w:tabs>
        <w:rPr>
          <w:lang w:val="en-US"/>
        </w:rPr>
      </w:pPr>
    </w:p>
    <w:p w:rsidR="00FE3793" w:rsidRPr="00FE3793" w:rsidRDefault="00FE3793" w:rsidP="00FE3793">
      <w:pPr>
        <w:tabs>
          <w:tab w:val="left" w:pos="9930"/>
        </w:tabs>
        <w:rPr>
          <w:b/>
          <w:bCs/>
          <w:iCs/>
        </w:rPr>
      </w:pPr>
      <w:r w:rsidRPr="00FE3793">
        <w:rPr>
          <w:b/>
          <w:bCs/>
          <w:iCs/>
        </w:rPr>
        <w:t>Acknowledgments</w:t>
      </w:r>
    </w:p>
    <w:p w:rsidR="00FE3793" w:rsidRPr="00FE3793" w:rsidRDefault="00FE3793" w:rsidP="00FE3793">
      <w:pPr>
        <w:tabs>
          <w:tab w:val="left" w:pos="9930"/>
        </w:tabs>
      </w:pPr>
      <w:r w:rsidRPr="00FE3793">
        <w:rPr>
          <w:iCs/>
        </w:rPr>
        <w:t>The research leading to these results has been performed within the ENSUREAL project (</w:t>
      </w:r>
      <w:hyperlink r:id="rId11" w:history="1">
        <w:r w:rsidRPr="00FE3793">
          <w:rPr>
            <w:rStyle w:val="Hyperlink"/>
            <w:iCs/>
          </w:rPr>
          <w:t>https://www.ensureal.com</w:t>
        </w:r>
      </w:hyperlink>
      <w:r w:rsidRPr="00FE3793">
        <w:rPr>
          <w:iCs/>
        </w:rPr>
        <w:t>) and received funding from the European Community's Horizon 2020 Programme (H2020/2017-2021) under grant agreement n° </w:t>
      </w:r>
      <w:r w:rsidRPr="00FE3793">
        <w:rPr>
          <w:iCs/>
          <w:lang w:val="en-US"/>
        </w:rPr>
        <w:t>767533</w:t>
      </w:r>
      <w:r w:rsidRPr="00FE3793">
        <w:rPr>
          <w:iCs/>
        </w:rPr>
        <w:t xml:space="preserve">. </w:t>
      </w:r>
      <w:proofErr w:type="spellStart"/>
      <w:r w:rsidRPr="00FE3793">
        <w:rPr>
          <w:iCs/>
        </w:rPr>
        <w:t>Danai</w:t>
      </w:r>
      <w:proofErr w:type="spellEnd"/>
      <w:r w:rsidRPr="00FE3793">
        <w:rPr>
          <w:iCs/>
        </w:rPr>
        <w:t xml:space="preserve"> </w:t>
      </w:r>
      <w:proofErr w:type="spellStart"/>
      <w:r w:rsidRPr="00FE3793">
        <w:rPr>
          <w:iCs/>
        </w:rPr>
        <w:t>Marinos</w:t>
      </w:r>
      <w:proofErr w:type="spellEnd"/>
      <w:r w:rsidRPr="00FE3793">
        <w:rPr>
          <w:iCs/>
        </w:rPr>
        <w:t xml:space="preserve"> is supported by the General Secretariat for Research and Technology (GSRT) and the Hellenic Foundation for Research and Innovation (HFRI).</w:t>
      </w:r>
    </w:p>
    <w:p w:rsidR="00FE3793" w:rsidRPr="00FE3793" w:rsidRDefault="00FE3793" w:rsidP="0018170A">
      <w:pPr>
        <w:tabs>
          <w:tab w:val="left" w:pos="9930"/>
        </w:tabs>
      </w:pPr>
    </w:p>
    <w:p w:rsidR="00CD7C40" w:rsidRPr="00BA7D7D" w:rsidRDefault="00CD7C40" w:rsidP="00A7264A">
      <w:pPr>
        <w:pStyle w:val="Heading2"/>
      </w:pPr>
      <w:r w:rsidRPr="00BA7D7D">
        <w:lastRenderedPageBreak/>
        <w:t>References</w:t>
      </w:r>
    </w:p>
    <w:p w:rsidR="006C3E47" w:rsidRDefault="006C3E47" w:rsidP="006C3E47">
      <w:pPr>
        <w:pStyle w:val="References"/>
      </w:pPr>
      <w:r>
        <w:t>H. Pedersen, “Process of manufacturing aluminium hydroxide”. United States of America Patent 1,618,105, 15 February 1927.</w:t>
      </w:r>
    </w:p>
    <w:p w:rsidR="006C3E47" w:rsidRDefault="006C3E47" w:rsidP="006C3E47">
      <w:pPr>
        <w:pStyle w:val="References"/>
      </w:pPr>
      <w:r>
        <w:t xml:space="preserve">J. Miller and A. </w:t>
      </w:r>
      <w:proofErr w:type="spellStart"/>
      <w:r>
        <w:t>Irgens</w:t>
      </w:r>
      <w:proofErr w:type="spellEnd"/>
      <w:r>
        <w:t xml:space="preserve">, “Alumina Production by the Pedersen Process - History and Future,” Essential Readings in Light Metals, 1. Alumina and Bauxite, pp. 977-982, 2013. </w:t>
      </w:r>
    </w:p>
    <w:p w:rsidR="006C3E47" w:rsidRDefault="006C3E47" w:rsidP="006C3E47">
      <w:pPr>
        <w:pStyle w:val="References"/>
      </w:pPr>
      <w:r>
        <w:t xml:space="preserve">J. </w:t>
      </w:r>
      <w:proofErr w:type="spellStart"/>
      <w:r>
        <w:t>Safarian</w:t>
      </w:r>
      <w:proofErr w:type="spellEnd"/>
      <w:r>
        <w:t xml:space="preserve"> and L. </w:t>
      </w:r>
      <w:proofErr w:type="spellStart"/>
      <w:r>
        <w:t>Kolbeinsen</w:t>
      </w:r>
      <w:proofErr w:type="spellEnd"/>
      <w:r>
        <w:t xml:space="preserve">, “Sustainability in Alumina production from bauxite,” in Sustainable Industrial Processing Summit, Hainan, 2016. </w:t>
      </w:r>
    </w:p>
    <w:p w:rsidR="006C3E47" w:rsidRDefault="006C3E47" w:rsidP="006C3E47">
      <w:pPr>
        <w:pStyle w:val="References"/>
      </w:pPr>
      <w:r>
        <w:t xml:space="preserve">Y. J. Kim, I. </w:t>
      </w:r>
      <w:proofErr w:type="spellStart"/>
      <w:r>
        <w:t>Nettleship</w:t>
      </w:r>
      <w:proofErr w:type="spellEnd"/>
      <w:r>
        <w:t xml:space="preserve"> and W. M. </w:t>
      </w:r>
      <w:proofErr w:type="spellStart"/>
      <w:r>
        <w:t>Kriven</w:t>
      </w:r>
      <w:proofErr w:type="spellEnd"/>
      <w:r>
        <w:t xml:space="preserve">, “Phase transformations in dicalcium silicate. II. TEM studies of crystallography, microstructure and mechanisms,” Journal of the American Ceramic Society, vol. 75, no. 9, p. 2407–2419, 1992. </w:t>
      </w:r>
    </w:p>
    <w:p w:rsidR="006C3E47" w:rsidRDefault="006C3E47" w:rsidP="006C3E47">
      <w:pPr>
        <w:pStyle w:val="References"/>
      </w:pPr>
      <w:r>
        <w:t xml:space="preserve">C. </w:t>
      </w:r>
      <w:proofErr w:type="spellStart"/>
      <w:r>
        <w:t>Klauber</w:t>
      </w:r>
      <w:proofErr w:type="spellEnd"/>
      <w:r>
        <w:t xml:space="preserve">, M. </w:t>
      </w:r>
      <w:proofErr w:type="spellStart"/>
      <w:r>
        <w:t>Gräfe</w:t>
      </w:r>
      <w:proofErr w:type="spellEnd"/>
      <w:r>
        <w:t xml:space="preserve"> and G. Power, “Bauxite residue issues: II. Options for residue utilization,” Hydrometallurgy, vol. 108, p. 11–32, 2011. </w:t>
      </w:r>
    </w:p>
    <w:p w:rsidR="006C3E47" w:rsidRDefault="006C3E47" w:rsidP="006C3E47">
      <w:pPr>
        <w:pStyle w:val="References"/>
      </w:pPr>
      <w:r>
        <w:t xml:space="preserve">Balomenos, E., </w:t>
      </w:r>
      <w:proofErr w:type="spellStart"/>
      <w:r>
        <w:t>Davris</w:t>
      </w:r>
      <w:proofErr w:type="spellEnd"/>
      <w:r>
        <w:t xml:space="preserve">, P., </w:t>
      </w:r>
      <w:proofErr w:type="spellStart"/>
      <w:r>
        <w:t>Pontikes</w:t>
      </w:r>
      <w:proofErr w:type="spellEnd"/>
      <w:r>
        <w:t xml:space="preserve">, Y., &amp; </w:t>
      </w:r>
      <w:proofErr w:type="spellStart"/>
      <w:r>
        <w:t>Panias</w:t>
      </w:r>
      <w:proofErr w:type="spellEnd"/>
      <w:r>
        <w:t>, D., Mud2Metal: Lessons Learned on the Path for Complete Utilization of Bauxite Residue Through Industrial Symbiosis. Journal of Sustainable Metallurgy, 1-10, 2016.</w:t>
      </w:r>
    </w:p>
    <w:p w:rsidR="006C3E47" w:rsidRDefault="006C3E47" w:rsidP="006C3E47">
      <w:pPr>
        <w:pStyle w:val="References"/>
      </w:pPr>
      <w:proofErr w:type="spellStart"/>
      <w:r>
        <w:t>Borra</w:t>
      </w:r>
      <w:proofErr w:type="spellEnd"/>
      <w:r>
        <w:t xml:space="preserve">, C. R., </w:t>
      </w:r>
      <w:proofErr w:type="spellStart"/>
      <w:r>
        <w:t>Blanpain</w:t>
      </w:r>
      <w:proofErr w:type="spellEnd"/>
      <w:r>
        <w:t xml:space="preserve">, B., </w:t>
      </w:r>
      <w:proofErr w:type="spellStart"/>
      <w:r>
        <w:t>Pontikes</w:t>
      </w:r>
      <w:proofErr w:type="spellEnd"/>
      <w:r>
        <w:t xml:space="preserve">, Y., </w:t>
      </w:r>
      <w:proofErr w:type="spellStart"/>
      <w:r>
        <w:t>Binnemans</w:t>
      </w:r>
      <w:proofErr w:type="spellEnd"/>
      <w:r>
        <w:t xml:space="preserve">, K., &amp; Van </w:t>
      </w:r>
      <w:proofErr w:type="spellStart"/>
      <w:r>
        <w:t>Gerven</w:t>
      </w:r>
      <w:proofErr w:type="spellEnd"/>
      <w:r>
        <w:t>, T., Recovery of Rare Earths and Other Valuable Metals from Bauxite Residue (Red Mud): A Review. Journal of Sustainable Metallurgy, 1-22, 2016.</w:t>
      </w:r>
    </w:p>
    <w:p w:rsidR="00CD7C40" w:rsidRPr="00660A85" w:rsidRDefault="006C3E47" w:rsidP="006C3E47">
      <w:pPr>
        <w:pStyle w:val="References"/>
      </w:pPr>
      <w:r>
        <w:t>ERECON, Strengthening the European rare earths supply chain: Challenges and policy options, 2015.</w:t>
      </w:r>
      <w:bookmarkStart w:id="0" w:name="_GoBack"/>
      <w:bookmarkEnd w:id="0"/>
    </w:p>
    <w:sectPr w:rsidR="00CD7C40" w:rsidRPr="00660A85" w:rsidSect="00CD7C40">
      <w:footerReference w:type="default" r:id="rId12"/>
      <w:pgSz w:w="11227" w:h="16840" w:code="9"/>
      <w:pgMar w:top="1247" w:right="1446" w:bottom="2325" w:left="1446" w:header="709" w:footer="15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99B" w:rsidRDefault="00E7399B" w:rsidP="00CD7C40">
      <w:r>
        <w:separator/>
      </w:r>
    </w:p>
  </w:endnote>
  <w:endnote w:type="continuationSeparator" w:id="0">
    <w:p w:rsidR="00E7399B" w:rsidRDefault="00E7399B" w:rsidP="00CD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28F" w:rsidRPr="00DC0EA9" w:rsidRDefault="00A6028F" w:rsidP="00CD7C40">
    <w:pPr>
      <w:tabs>
        <w:tab w:val="right" w:pos="8335"/>
      </w:tabs>
      <w:spacing w:line="240" w:lineRule="auto"/>
      <w:rPr>
        <w:sz w:val="20"/>
      </w:rPr>
    </w:pPr>
    <w:r>
      <w:rPr>
        <w:sz w:val="20"/>
      </w:rPr>
      <w:t xml:space="preserve">Bauxite Residue Valorisation and Best </w:t>
    </w:r>
    <w:proofErr w:type="gramStart"/>
    <w:r>
      <w:rPr>
        <w:sz w:val="20"/>
      </w:rPr>
      <w:t>Practices  |</w:t>
    </w:r>
    <w:proofErr w:type="gramEnd"/>
    <w:r>
      <w:rPr>
        <w:sz w:val="20"/>
      </w:rPr>
      <w:t xml:space="preserve">  Leuven  |  5-7/10/2015</w:t>
    </w:r>
    <w:r w:rsidRPr="00C66D4D">
      <w:rPr>
        <w:sz w:val="20"/>
      </w:rPr>
      <w:t xml:space="preserve"> </w:t>
    </w:r>
    <w:r w:rsidRPr="00C66D4D">
      <w:rPr>
        <w:sz w:val="20"/>
      </w:rPr>
      <w:tab/>
    </w:r>
    <w:r w:rsidRPr="00C66D4D">
      <w:rPr>
        <w:sz w:val="20"/>
      </w:rPr>
      <w:fldChar w:fldCharType="begin"/>
    </w:r>
    <w:r w:rsidRPr="00C66D4D">
      <w:rPr>
        <w:sz w:val="20"/>
      </w:rPr>
      <w:instrText xml:space="preserve"> PAGE   \* MERGEFORMAT </w:instrText>
    </w:r>
    <w:r w:rsidRPr="00C66D4D">
      <w:rPr>
        <w:sz w:val="20"/>
      </w:rPr>
      <w:fldChar w:fldCharType="separate"/>
    </w:r>
    <w:r w:rsidR="00BE0A05">
      <w:rPr>
        <w:noProof/>
        <w:sz w:val="20"/>
      </w:rPr>
      <w:t>7</w:t>
    </w:r>
    <w:r w:rsidRPr="00C66D4D">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99B" w:rsidRDefault="00E7399B" w:rsidP="00CD7C40">
      <w:r>
        <w:separator/>
      </w:r>
    </w:p>
  </w:footnote>
  <w:footnote w:type="continuationSeparator" w:id="0">
    <w:p w:rsidR="00E7399B" w:rsidRDefault="00E7399B" w:rsidP="00CD7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5BAD838"/>
    <w:lvl w:ilvl="0">
      <w:start w:val="1"/>
      <w:numFmt w:val="decimal"/>
      <w:lvlText w:val="%1."/>
      <w:lvlJc w:val="left"/>
      <w:pPr>
        <w:tabs>
          <w:tab w:val="num" w:pos="643"/>
        </w:tabs>
        <w:ind w:left="643" w:hanging="360"/>
      </w:pPr>
    </w:lvl>
  </w:abstractNum>
  <w:abstractNum w:abstractNumId="1" w15:restartNumberingAfterBreak="0">
    <w:nsid w:val="00A97177"/>
    <w:multiLevelType w:val="multilevel"/>
    <w:tmpl w:val="007CF5D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3B0373"/>
    <w:multiLevelType w:val="hybridMultilevel"/>
    <w:tmpl w:val="FCC0E6D4"/>
    <w:lvl w:ilvl="0" w:tplc="04130001">
      <w:start w:val="1"/>
      <w:numFmt w:val="bullet"/>
      <w:lvlText w:val=""/>
      <w:lvlJc w:val="left"/>
      <w:pPr>
        <w:tabs>
          <w:tab w:val="num" w:pos="1287"/>
        </w:tabs>
        <w:ind w:left="1287" w:hanging="360"/>
      </w:pPr>
      <w:rPr>
        <w:rFonts w:ascii="Symbol" w:hAnsi="Symbol" w:hint="default"/>
      </w:rPr>
    </w:lvl>
    <w:lvl w:ilvl="1" w:tplc="04130003" w:tentative="1">
      <w:start w:val="1"/>
      <w:numFmt w:val="bullet"/>
      <w:lvlText w:val="o"/>
      <w:lvlJc w:val="left"/>
      <w:pPr>
        <w:tabs>
          <w:tab w:val="num" w:pos="2007"/>
        </w:tabs>
        <w:ind w:left="2007" w:hanging="360"/>
      </w:pPr>
      <w:rPr>
        <w:rFonts w:ascii="Courier New" w:hAnsi="Courier New" w:cs="Calibri" w:hint="default"/>
      </w:rPr>
    </w:lvl>
    <w:lvl w:ilvl="2" w:tplc="04130005" w:tentative="1">
      <w:start w:val="1"/>
      <w:numFmt w:val="bullet"/>
      <w:lvlText w:val=""/>
      <w:lvlJc w:val="left"/>
      <w:pPr>
        <w:tabs>
          <w:tab w:val="num" w:pos="2727"/>
        </w:tabs>
        <w:ind w:left="2727" w:hanging="360"/>
      </w:pPr>
      <w:rPr>
        <w:rFonts w:ascii="Wingdings" w:hAnsi="Wingdings" w:hint="default"/>
      </w:rPr>
    </w:lvl>
    <w:lvl w:ilvl="3" w:tplc="04130001" w:tentative="1">
      <w:start w:val="1"/>
      <w:numFmt w:val="bullet"/>
      <w:lvlText w:val=""/>
      <w:lvlJc w:val="left"/>
      <w:pPr>
        <w:tabs>
          <w:tab w:val="num" w:pos="3447"/>
        </w:tabs>
        <w:ind w:left="3447" w:hanging="360"/>
      </w:pPr>
      <w:rPr>
        <w:rFonts w:ascii="Symbol" w:hAnsi="Symbol" w:hint="default"/>
      </w:rPr>
    </w:lvl>
    <w:lvl w:ilvl="4" w:tplc="04130003" w:tentative="1">
      <w:start w:val="1"/>
      <w:numFmt w:val="bullet"/>
      <w:lvlText w:val="o"/>
      <w:lvlJc w:val="left"/>
      <w:pPr>
        <w:tabs>
          <w:tab w:val="num" w:pos="4167"/>
        </w:tabs>
        <w:ind w:left="4167" w:hanging="360"/>
      </w:pPr>
      <w:rPr>
        <w:rFonts w:ascii="Courier New" w:hAnsi="Courier New" w:cs="Calibri" w:hint="default"/>
      </w:rPr>
    </w:lvl>
    <w:lvl w:ilvl="5" w:tplc="04130005" w:tentative="1">
      <w:start w:val="1"/>
      <w:numFmt w:val="bullet"/>
      <w:lvlText w:val=""/>
      <w:lvlJc w:val="left"/>
      <w:pPr>
        <w:tabs>
          <w:tab w:val="num" w:pos="4887"/>
        </w:tabs>
        <w:ind w:left="4887" w:hanging="360"/>
      </w:pPr>
      <w:rPr>
        <w:rFonts w:ascii="Wingdings" w:hAnsi="Wingdings" w:hint="default"/>
      </w:rPr>
    </w:lvl>
    <w:lvl w:ilvl="6" w:tplc="04130001" w:tentative="1">
      <w:start w:val="1"/>
      <w:numFmt w:val="bullet"/>
      <w:lvlText w:val=""/>
      <w:lvlJc w:val="left"/>
      <w:pPr>
        <w:tabs>
          <w:tab w:val="num" w:pos="5607"/>
        </w:tabs>
        <w:ind w:left="5607" w:hanging="360"/>
      </w:pPr>
      <w:rPr>
        <w:rFonts w:ascii="Symbol" w:hAnsi="Symbol" w:hint="default"/>
      </w:rPr>
    </w:lvl>
    <w:lvl w:ilvl="7" w:tplc="04130003" w:tentative="1">
      <w:start w:val="1"/>
      <w:numFmt w:val="bullet"/>
      <w:lvlText w:val="o"/>
      <w:lvlJc w:val="left"/>
      <w:pPr>
        <w:tabs>
          <w:tab w:val="num" w:pos="6327"/>
        </w:tabs>
        <w:ind w:left="6327" w:hanging="360"/>
      </w:pPr>
      <w:rPr>
        <w:rFonts w:ascii="Courier New" w:hAnsi="Courier New" w:cs="Calibri" w:hint="default"/>
      </w:rPr>
    </w:lvl>
    <w:lvl w:ilvl="8" w:tplc="0413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D493CA0"/>
    <w:multiLevelType w:val="multilevel"/>
    <w:tmpl w:val="5290DD4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8161B27"/>
    <w:multiLevelType w:val="hybridMultilevel"/>
    <w:tmpl w:val="CC6A9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AC1BDC"/>
    <w:multiLevelType w:val="multilevel"/>
    <w:tmpl w:val="6FAA42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4D80968"/>
    <w:multiLevelType w:val="hybridMultilevel"/>
    <w:tmpl w:val="F6A0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358ED"/>
    <w:multiLevelType w:val="hybridMultilevel"/>
    <w:tmpl w:val="8DB4C8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alibri"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alibri"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200C3"/>
    <w:multiLevelType w:val="hybridMultilevel"/>
    <w:tmpl w:val="A9C44EB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alibri"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alibri"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233AF4"/>
    <w:multiLevelType w:val="multilevel"/>
    <w:tmpl w:val="473644F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DE60405"/>
    <w:multiLevelType w:val="hybridMultilevel"/>
    <w:tmpl w:val="9AA2BE12"/>
    <w:lvl w:ilvl="0" w:tplc="54FE0646">
      <w:start w:val="1"/>
      <w:numFmt w:val="decimal"/>
      <w:pStyle w:val="References"/>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9"/>
  </w:num>
  <w:num w:numId="5">
    <w:abstractNumId w:val="5"/>
  </w:num>
  <w:num w:numId="6">
    <w:abstractNumId w:val="0"/>
  </w:num>
  <w:num w:numId="7">
    <w:abstractNumId w:val="1"/>
  </w:num>
  <w:num w:numId="8">
    <w:abstractNumId w:val="3"/>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9D"/>
    <w:rsid w:val="00050577"/>
    <w:rsid w:val="00100AF9"/>
    <w:rsid w:val="001676E3"/>
    <w:rsid w:val="001741E4"/>
    <w:rsid w:val="0018170A"/>
    <w:rsid w:val="00226D8C"/>
    <w:rsid w:val="00264EC9"/>
    <w:rsid w:val="0031631A"/>
    <w:rsid w:val="00324927"/>
    <w:rsid w:val="00340243"/>
    <w:rsid w:val="00403ED7"/>
    <w:rsid w:val="00466661"/>
    <w:rsid w:val="004E55A3"/>
    <w:rsid w:val="00573B01"/>
    <w:rsid w:val="00605ED2"/>
    <w:rsid w:val="006441D4"/>
    <w:rsid w:val="006C3E47"/>
    <w:rsid w:val="007343F0"/>
    <w:rsid w:val="00765089"/>
    <w:rsid w:val="007C1872"/>
    <w:rsid w:val="008247F4"/>
    <w:rsid w:val="00827B67"/>
    <w:rsid w:val="008F5B3C"/>
    <w:rsid w:val="00957668"/>
    <w:rsid w:val="009C0AB6"/>
    <w:rsid w:val="009C2CCD"/>
    <w:rsid w:val="00A12161"/>
    <w:rsid w:val="00A25B59"/>
    <w:rsid w:val="00A4529D"/>
    <w:rsid w:val="00A6028F"/>
    <w:rsid w:val="00A7264A"/>
    <w:rsid w:val="00AB6168"/>
    <w:rsid w:val="00BE0A05"/>
    <w:rsid w:val="00BF7A85"/>
    <w:rsid w:val="00C12FCC"/>
    <w:rsid w:val="00C4618E"/>
    <w:rsid w:val="00CD7C40"/>
    <w:rsid w:val="00D03811"/>
    <w:rsid w:val="00D136F9"/>
    <w:rsid w:val="00DF3E4A"/>
    <w:rsid w:val="00E7399B"/>
    <w:rsid w:val="00F333BD"/>
    <w:rsid w:val="00F40E0C"/>
    <w:rsid w:val="00FB0DA6"/>
    <w:rsid w:val="00FE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15:chartTrackingRefBased/>
  <w15:docId w15:val="{E80107C7-4224-4708-A166-1A7D1734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EA9"/>
    <w:pPr>
      <w:spacing w:line="320" w:lineRule="atLeast"/>
      <w:jc w:val="both"/>
    </w:pPr>
    <w:rPr>
      <w:rFonts w:ascii="Calibri" w:hAnsi="Calibri" w:cs="Calibri"/>
      <w:sz w:val="24"/>
      <w:szCs w:val="24"/>
      <w:lang w:val="en-GB" w:eastAsia="nl-NL"/>
    </w:rPr>
  </w:style>
  <w:style w:type="paragraph" w:styleId="Heading1">
    <w:name w:val="heading 1"/>
    <w:basedOn w:val="Normal"/>
    <w:next w:val="Normal"/>
    <w:qFormat/>
    <w:rsid w:val="007E266E"/>
    <w:pPr>
      <w:keepNext/>
      <w:spacing w:after="60" w:line="360" w:lineRule="atLeast"/>
      <w:outlineLvl w:val="0"/>
    </w:pPr>
    <w:rPr>
      <w:b/>
      <w:bCs/>
      <w:kern w:val="32"/>
      <w:sz w:val="36"/>
      <w:szCs w:val="36"/>
    </w:rPr>
  </w:style>
  <w:style w:type="paragraph" w:styleId="Heading2">
    <w:name w:val="heading 2"/>
    <w:basedOn w:val="Normal"/>
    <w:next w:val="Normal"/>
    <w:qFormat/>
    <w:rsid w:val="007C3E0C"/>
    <w:pPr>
      <w:keepNext/>
      <w:spacing w:before="240" w:after="120"/>
      <w:outlineLvl w:val="1"/>
    </w:pPr>
    <w:rPr>
      <w:b/>
      <w:bCs/>
      <w:iCs/>
      <w:sz w:val="32"/>
      <w:szCs w:val="28"/>
    </w:rPr>
  </w:style>
  <w:style w:type="paragraph" w:styleId="Heading3">
    <w:name w:val="heading 3"/>
    <w:basedOn w:val="Normal"/>
    <w:next w:val="Normal"/>
    <w:qFormat/>
    <w:rsid w:val="00E27D22"/>
    <w:pPr>
      <w:keepNext/>
      <w:spacing w:before="280" w:after="80"/>
      <w:outlineLvl w:val="2"/>
    </w:pPr>
    <w:rPr>
      <w:b/>
      <w:bCs/>
      <w:sz w:val="26"/>
      <w:szCs w:val="26"/>
    </w:rPr>
  </w:style>
  <w:style w:type="paragraph" w:styleId="Heading4">
    <w:name w:val="heading 4"/>
    <w:basedOn w:val="Normal"/>
    <w:next w:val="Normal"/>
    <w:qFormat/>
    <w:rsid w:val="00EC545A"/>
    <w:pPr>
      <w:keepNext/>
      <w:numPr>
        <w:ilvl w:val="3"/>
        <w:numId w:val="7"/>
      </w:numPr>
      <w:spacing w:before="240" w:after="60"/>
      <w:outlineLvl w:val="3"/>
    </w:pPr>
    <w:rPr>
      <w:b/>
      <w:bCs/>
      <w:sz w:val="28"/>
      <w:szCs w:val="28"/>
    </w:rPr>
  </w:style>
  <w:style w:type="paragraph" w:styleId="Heading5">
    <w:name w:val="heading 5"/>
    <w:basedOn w:val="Normal"/>
    <w:next w:val="Normal"/>
    <w:qFormat/>
    <w:rsid w:val="00EC545A"/>
    <w:pPr>
      <w:numPr>
        <w:ilvl w:val="4"/>
        <w:numId w:val="7"/>
      </w:numPr>
      <w:spacing w:before="240" w:after="60"/>
      <w:outlineLvl w:val="4"/>
    </w:pPr>
    <w:rPr>
      <w:b/>
      <w:bCs/>
      <w:i/>
      <w:iCs/>
      <w:sz w:val="26"/>
      <w:szCs w:val="26"/>
    </w:rPr>
  </w:style>
  <w:style w:type="paragraph" w:styleId="Heading6">
    <w:name w:val="heading 6"/>
    <w:basedOn w:val="Normal"/>
    <w:next w:val="Normal"/>
    <w:qFormat/>
    <w:rsid w:val="00EC545A"/>
    <w:pPr>
      <w:numPr>
        <w:ilvl w:val="5"/>
        <w:numId w:val="7"/>
      </w:numPr>
      <w:spacing w:before="240" w:after="60"/>
      <w:outlineLvl w:val="5"/>
    </w:pPr>
    <w:rPr>
      <w:b/>
      <w:bCs/>
      <w:sz w:val="22"/>
      <w:szCs w:val="22"/>
    </w:rPr>
  </w:style>
  <w:style w:type="paragraph" w:styleId="Heading7">
    <w:name w:val="heading 7"/>
    <w:basedOn w:val="Normal"/>
    <w:next w:val="Normal"/>
    <w:qFormat/>
    <w:rsid w:val="00EC545A"/>
    <w:pPr>
      <w:numPr>
        <w:ilvl w:val="6"/>
        <w:numId w:val="7"/>
      </w:numPr>
      <w:spacing w:before="240" w:after="60"/>
      <w:outlineLvl w:val="6"/>
    </w:pPr>
  </w:style>
  <w:style w:type="paragraph" w:styleId="Heading8">
    <w:name w:val="heading 8"/>
    <w:basedOn w:val="Normal"/>
    <w:next w:val="Normal"/>
    <w:qFormat/>
    <w:rsid w:val="00EC545A"/>
    <w:pPr>
      <w:numPr>
        <w:ilvl w:val="7"/>
        <w:numId w:val="7"/>
      </w:numPr>
      <w:spacing w:before="240" w:after="60"/>
      <w:outlineLvl w:val="7"/>
    </w:pPr>
    <w:rPr>
      <w:i/>
      <w:iCs/>
    </w:rPr>
  </w:style>
  <w:style w:type="paragraph" w:styleId="Heading9">
    <w:name w:val="heading 9"/>
    <w:basedOn w:val="Normal"/>
    <w:next w:val="Normal"/>
    <w:qFormat/>
    <w:rsid w:val="00EC545A"/>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link w:val="AuthorsChar"/>
    <w:qFormat/>
    <w:rsid w:val="007C3E0C"/>
    <w:pPr>
      <w:spacing w:before="240" w:after="120" w:line="280" w:lineRule="atLeast"/>
    </w:pPr>
    <w:rPr>
      <w:rFonts w:cs="Times New Roman"/>
      <w:b/>
      <w:sz w:val="28"/>
    </w:rPr>
  </w:style>
  <w:style w:type="paragraph" w:customStyle="1" w:styleId="Affiliation">
    <w:name w:val="Affiliation"/>
    <w:basedOn w:val="Normal"/>
    <w:link w:val="AffiliationChar"/>
    <w:qFormat/>
    <w:rsid w:val="007C3E0C"/>
    <w:pPr>
      <w:spacing w:line="280" w:lineRule="atLeast"/>
    </w:pPr>
    <w:rPr>
      <w:rFonts w:cs="Times New Roman"/>
      <w:sz w:val="22"/>
      <w:szCs w:val="22"/>
    </w:rPr>
  </w:style>
  <w:style w:type="character" w:customStyle="1" w:styleId="AuthorsChar">
    <w:name w:val="Authors Char"/>
    <w:link w:val="Authors"/>
    <w:rsid w:val="007C3E0C"/>
    <w:rPr>
      <w:rFonts w:ascii="Calibri" w:hAnsi="Calibri" w:cs="Calibri"/>
      <w:b/>
      <w:sz w:val="28"/>
      <w:szCs w:val="24"/>
      <w:lang w:val="en-GB" w:eastAsia="nl-NL"/>
    </w:rPr>
  </w:style>
  <w:style w:type="paragraph" w:customStyle="1" w:styleId="Abstract">
    <w:name w:val="Abstract"/>
    <w:basedOn w:val="Normal"/>
    <w:link w:val="AbstractChar"/>
    <w:qFormat/>
    <w:rsid w:val="00633E16"/>
    <w:rPr>
      <w:rFonts w:cs="Times New Roman"/>
      <w:i/>
    </w:rPr>
  </w:style>
  <w:style w:type="character" w:customStyle="1" w:styleId="AffiliationChar">
    <w:name w:val="Affiliation Char"/>
    <w:link w:val="Affiliation"/>
    <w:rsid w:val="007C3E0C"/>
    <w:rPr>
      <w:rFonts w:ascii="Calibri" w:hAnsi="Calibri" w:cs="Calibri"/>
      <w:sz w:val="22"/>
      <w:szCs w:val="22"/>
      <w:lang w:val="en-GB" w:eastAsia="nl-NL"/>
    </w:rPr>
  </w:style>
  <w:style w:type="paragraph" w:customStyle="1" w:styleId="Email">
    <w:name w:val="Email"/>
    <w:basedOn w:val="Normal"/>
    <w:link w:val="EmailChar"/>
    <w:qFormat/>
    <w:rsid w:val="007C3E0C"/>
    <w:pPr>
      <w:spacing w:before="120" w:after="360"/>
    </w:pPr>
    <w:rPr>
      <w:rFonts w:cs="Times New Roman"/>
      <w:i/>
    </w:rPr>
  </w:style>
  <w:style w:type="paragraph" w:customStyle="1" w:styleId="References">
    <w:name w:val="References"/>
    <w:basedOn w:val="Normal"/>
    <w:link w:val="ReferencesChar"/>
    <w:qFormat/>
    <w:rsid w:val="00660A85"/>
    <w:pPr>
      <w:numPr>
        <w:numId w:val="9"/>
      </w:numPr>
      <w:spacing w:line="260" w:lineRule="atLeast"/>
      <w:ind w:left="425" w:hanging="425"/>
    </w:pPr>
    <w:rPr>
      <w:rFonts w:cs="Times New Roman"/>
      <w:sz w:val="20"/>
    </w:rPr>
  </w:style>
  <w:style w:type="character" w:customStyle="1" w:styleId="AbstractChar">
    <w:name w:val="Abstract Char"/>
    <w:link w:val="Abstract"/>
    <w:rsid w:val="00633E16"/>
    <w:rPr>
      <w:rFonts w:ascii="Calibri" w:hAnsi="Calibri" w:cs="Calibri"/>
      <w:i/>
      <w:sz w:val="24"/>
      <w:szCs w:val="24"/>
      <w:lang w:val="en-GB" w:eastAsia="nl-NL"/>
    </w:rPr>
  </w:style>
  <w:style w:type="character" w:customStyle="1" w:styleId="EmailChar">
    <w:name w:val="Email Char"/>
    <w:link w:val="Email"/>
    <w:rsid w:val="007C3E0C"/>
    <w:rPr>
      <w:rFonts w:ascii="Calibri" w:hAnsi="Calibri" w:cs="Calibri"/>
      <w:i/>
      <w:sz w:val="24"/>
      <w:szCs w:val="24"/>
      <w:lang w:val="en-GB" w:eastAsia="nl-NL"/>
    </w:rPr>
  </w:style>
  <w:style w:type="paragraph" w:styleId="Header">
    <w:name w:val="header"/>
    <w:basedOn w:val="Normal"/>
    <w:link w:val="HeaderChar"/>
    <w:uiPriority w:val="99"/>
    <w:semiHidden/>
    <w:rsid w:val="00DC0EA9"/>
    <w:pPr>
      <w:tabs>
        <w:tab w:val="center" w:pos="4536"/>
        <w:tab w:val="right" w:pos="9072"/>
      </w:tabs>
    </w:pPr>
    <w:rPr>
      <w:rFonts w:cs="Times New Roman"/>
    </w:rPr>
  </w:style>
  <w:style w:type="character" w:customStyle="1" w:styleId="ReferencesChar">
    <w:name w:val="References Char"/>
    <w:link w:val="References"/>
    <w:rsid w:val="00660A85"/>
    <w:rPr>
      <w:rFonts w:ascii="Calibri" w:hAnsi="Calibri" w:cs="Calibri"/>
      <w:szCs w:val="24"/>
      <w:lang w:val="en-GB" w:eastAsia="nl-NL"/>
    </w:rPr>
  </w:style>
  <w:style w:type="character" w:customStyle="1" w:styleId="HeaderChar">
    <w:name w:val="Header Char"/>
    <w:link w:val="Header"/>
    <w:uiPriority w:val="99"/>
    <w:semiHidden/>
    <w:rsid w:val="00DC0EA9"/>
    <w:rPr>
      <w:rFonts w:ascii="Calibri" w:hAnsi="Calibri" w:cs="Calibri"/>
      <w:sz w:val="24"/>
      <w:szCs w:val="24"/>
      <w:lang w:val="en-GB" w:eastAsia="nl-NL"/>
    </w:rPr>
  </w:style>
  <w:style w:type="paragraph" w:styleId="Footer">
    <w:name w:val="footer"/>
    <w:basedOn w:val="Normal"/>
    <w:link w:val="FooterChar"/>
    <w:uiPriority w:val="99"/>
    <w:semiHidden/>
    <w:rsid w:val="00DC0EA9"/>
    <w:pPr>
      <w:tabs>
        <w:tab w:val="center" w:pos="4536"/>
        <w:tab w:val="right" w:pos="9072"/>
      </w:tabs>
    </w:pPr>
    <w:rPr>
      <w:rFonts w:cs="Times New Roman"/>
    </w:rPr>
  </w:style>
  <w:style w:type="character" w:customStyle="1" w:styleId="FooterChar">
    <w:name w:val="Footer Char"/>
    <w:link w:val="Footer"/>
    <w:uiPriority w:val="99"/>
    <w:semiHidden/>
    <w:rsid w:val="00DC0EA9"/>
    <w:rPr>
      <w:rFonts w:ascii="Calibri" w:hAnsi="Calibri" w:cs="Calibri"/>
      <w:sz w:val="24"/>
      <w:szCs w:val="24"/>
      <w:lang w:val="en-GB" w:eastAsia="nl-NL"/>
    </w:rPr>
  </w:style>
  <w:style w:type="paragraph" w:customStyle="1" w:styleId="Default">
    <w:name w:val="Default"/>
    <w:rsid w:val="009C0AB6"/>
    <w:pPr>
      <w:autoSpaceDE w:val="0"/>
      <w:autoSpaceDN w:val="0"/>
      <w:adjustRightInd w:val="0"/>
    </w:pPr>
    <w:rPr>
      <w:color w:val="000000"/>
      <w:sz w:val="24"/>
      <w:szCs w:val="24"/>
    </w:rPr>
  </w:style>
  <w:style w:type="table" w:styleId="TableGrid">
    <w:name w:val="Table Grid"/>
    <w:basedOn w:val="TableNormal"/>
    <w:uiPriority w:val="39"/>
    <w:rsid w:val="00537B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422E5"/>
    <w:rPr>
      <w:sz w:val="16"/>
      <w:szCs w:val="16"/>
    </w:rPr>
  </w:style>
  <w:style w:type="paragraph" w:styleId="CommentText">
    <w:name w:val="annotation text"/>
    <w:basedOn w:val="Normal"/>
    <w:link w:val="CommentTextChar"/>
    <w:uiPriority w:val="99"/>
    <w:semiHidden/>
    <w:unhideWhenUsed/>
    <w:rsid w:val="000422E5"/>
    <w:rPr>
      <w:rFonts w:ascii="Times New Roman" w:hAnsi="Times New Roman" w:cs="Times New Roman"/>
      <w:sz w:val="20"/>
      <w:szCs w:val="20"/>
    </w:rPr>
  </w:style>
  <w:style w:type="character" w:customStyle="1" w:styleId="CommentTextChar">
    <w:name w:val="Comment Text Char"/>
    <w:link w:val="CommentText"/>
    <w:uiPriority w:val="99"/>
    <w:semiHidden/>
    <w:rsid w:val="000422E5"/>
    <w:rPr>
      <w:lang w:val="en-GB" w:eastAsia="nl-NL"/>
    </w:rPr>
  </w:style>
  <w:style w:type="paragraph" w:styleId="CommentSubject">
    <w:name w:val="annotation subject"/>
    <w:basedOn w:val="CommentText"/>
    <w:next w:val="CommentText"/>
    <w:link w:val="CommentSubjectChar"/>
    <w:uiPriority w:val="99"/>
    <w:semiHidden/>
    <w:unhideWhenUsed/>
    <w:rsid w:val="000422E5"/>
    <w:rPr>
      <w:b/>
      <w:bCs/>
    </w:rPr>
  </w:style>
  <w:style w:type="character" w:customStyle="1" w:styleId="CommentSubjectChar">
    <w:name w:val="Comment Subject Char"/>
    <w:link w:val="CommentSubject"/>
    <w:uiPriority w:val="99"/>
    <w:semiHidden/>
    <w:rsid w:val="000422E5"/>
    <w:rPr>
      <w:b/>
      <w:bCs/>
      <w:lang w:val="en-GB" w:eastAsia="nl-NL"/>
    </w:rPr>
  </w:style>
  <w:style w:type="paragraph" w:styleId="BalloonText">
    <w:name w:val="Balloon Text"/>
    <w:basedOn w:val="Normal"/>
    <w:link w:val="BalloonTextChar"/>
    <w:uiPriority w:val="99"/>
    <w:semiHidden/>
    <w:unhideWhenUsed/>
    <w:rsid w:val="000422E5"/>
    <w:rPr>
      <w:rFonts w:ascii="Tahoma" w:hAnsi="Tahoma" w:cs="Times New Roman"/>
      <w:sz w:val="16"/>
      <w:szCs w:val="16"/>
    </w:rPr>
  </w:style>
  <w:style w:type="character" w:customStyle="1" w:styleId="BalloonTextChar">
    <w:name w:val="Balloon Text Char"/>
    <w:link w:val="BalloonText"/>
    <w:uiPriority w:val="99"/>
    <w:semiHidden/>
    <w:rsid w:val="000422E5"/>
    <w:rPr>
      <w:rFonts w:ascii="Tahoma" w:hAnsi="Tahoma" w:cs="Tahoma"/>
      <w:sz w:val="16"/>
      <w:szCs w:val="16"/>
      <w:lang w:val="en-GB" w:eastAsia="nl-NL"/>
    </w:rPr>
  </w:style>
  <w:style w:type="character" w:styleId="Hyperlink">
    <w:name w:val="Hyperlink"/>
    <w:uiPriority w:val="99"/>
    <w:unhideWhenUsed/>
    <w:rsid w:val="00F333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surea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Har27</b:Tag>
    <b:SourceType>Patent</b:SourceType>
    <b:Guid>{46E039BF-0511-4182-8393-35CBB733ABEA}</b:Guid>
    <b:Title>Process of manufacturing aluminum hydroxide</b:Title>
    <b:Year>1927</b:Year>
    <b:Author>
      <b:Inventor>
        <b:NameList>
          <b:Person>
            <b:Last>Pedersen</b:Last>
            <b:First>Harald</b:First>
          </b:Person>
        </b:NameList>
      </b:Inventor>
    </b:Author>
    <b:Month>February</b:Month>
    <b:Day>15</b:Day>
    <b:CountryRegion>United States of America</b:CountryRegion>
    <b:PatentNumber>1,618,105</b:PatentNumber>
    <b:RefOrder>1</b:RefOrder>
  </b:Source>
  <b:Source>
    <b:Tag>Mil13</b:Tag>
    <b:SourceType>ArticleInAPeriodical</b:SourceType>
    <b:Guid>{FE83FBAD-837D-4777-8A75-582281C907C3}</b:Guid>
    <b:Title>Alumina Production by the Pedersen Process - History and Future</b:Title>
    <b:Year>2013</b:Year>
    <b:Pages>977-982</b:Pages>
    <b:Author>
      <b:Author>
        <b:NameList>
          <b:Person>
            <b:Last>Miller </b:Last>
            <b:First>Jan </b:First>
          </b:Person>
          <b:Person>
            <b:Last>Irgens</b:Last>
            <b:First>Aake </b:First>
          </b:Person>
        </b:NameList>
      </b:Author>
    </b:Author>
    <b:PeriodicalTitle>Essential Readings in Light Metals, 1. Alumina and Bauxite</b:PeriodicalTitle>
    <b:RefOrder>2</b:RefOrder>
  </b:Source>
  <b:Source>
    <b:Tag>Saf161</b:Tag>
    <b:SourceType>ConferenceProceedings</b:SourceType>
    <b:Guid>{BC3F2018-9226-4DC6-8706-7237F27E108A}</b:Guid>
    <b:Title>Sustainability in Alumina production from bauxite</b:Title>
    <b:Year>2016</b:Year>
    <b:ConferenceName>Sustainable Industrial Processing Summit</b:ConferenceName>
    <b:City>Hainan</b:City>
    <b:Author>
      <b:Author>
        <b:NameList>
          <b:Person>
            <b:Last>Safarian</b:Last>
            <b:First>Jafar </b:First>
          </b:Person>
          <b:Person>
            <b:Last>Kolbeinsen</b:Last>
            <b:First>Leiv </b:First>
          </b:Person>
        </b:NameList>
      </b:Author>
    </b:Author>
    <b:RefOrder>3</b:RefOrder>
  </b:Source>
  <b:Source>
    <b:Tag>Kim92</b:Tag>
    <b:SourceType>JournalArticle</b:SourceType>
    <b:Guid>{5CDACD4B-3D80-4B85-A16B-39AD20C6B262}</b:Guid>
    <b:Title>Phase transformations in dicalcium silicate. II. TEM studies of crystallography, microstructure and mechanisms</b:Title>
    <b:Year>1992</b:Year>
    <b:Pages>2407–2419</b:Pages>
    <b:JournalName>Journal of the American Ceramic Society</b:JournalName>
    <b:Volume>75</b:Volume>
    <b:Issue>9</b:Issue>
    <b:Author>
      <b:Author>
        <b:NameList>
          <b:Person>
            <b:Last>Kim</b:Last>
            <b:Middle>J.</b:Middle>
            <b:First>Y.</b:First>
          </b:Person>
          <b:Person>
            <b:Last>Nettleship</b:Last>
            <b:First>I.</b:First>
          </b:Person>
          <b:Person>
            <b:Last>Kriven </b:Last>
            <b:Middle>M.</b:Middle>
            <b:First>W.</b:First>
          </b:Person>
        </b:NameList>
      </b:Author>
    </b:Author>
    <b:RefOrder>4</b:RefOrder>
  </b:Source>
  <b:Source>
    <b:Tag>Kla111</b:Tag>
    <b:SourceType>JournalArticle</b:SourceType>
    <b:Guid>{2D3D3F30-24E6-4443-AF76-72D30D9CAAD5}</b:Guid>
    <b:Title>Bauxite residue issues: II. options for residue utilization</b:Title>
    <b:JournalName>Hydrometallurgy</b:JournalName>
    <b:Year>2011</b:Year>
    <b:Pages>11–32</b:Pages>
    <b:Volume>108</b:Volume>
    <b:Author>
      <b:Author>
        <b:NameList>
          <b:Person>
            <b:Last>Klauber</b:Last>
            <b:First>C. </b:First>
          </b:Person>
          <b:Person>
            <b:Last>Gräfe</b:Last>
            <b:First>M. </b:First>
          </b:Person>
          <b:Person>
            <b:Last>Power</b:Last>
            <b:First>G. </b:First>
          </b:Person>
        </b:NameList>
      </b:Author>
    </b:Author>
    <b:RefOrder>5</b:RefOrder>
  </b:Source>
</b:Sources>
</file>

<file path=customXml/itemProps1.xml><?xml version="1.0" encoding="utf-8"?>
<ds:datastoreItem xmlns:ds="http://schemas.openxmlformats.org/officeDocument/2006/customXml" ds:itemID="{97BBD15B-8B7F-4F76-A461-9B037054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Template_paper_proceedings_3rd_Slag_Valor_Symposium</vt:lpstr>
    </vt:vector>
  </TitlesOfParts>
  <Company>HP</Company>
  <LinksUpToDate>false</LinksUpToDate>
  <CharactersWithSpaces>13141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Template_paper_proceedings_3rd_Slag_Valor_Symposium</dc:title>
  <dc:subject/>
  <dc:creator>Slag Valorisation Symposium</dc:creator>
  <cp:keywords/>
  <cp:lastModifiedBy>Michael Vafeias</cp:lastModifiedBy>
  <cp:revision>8</cp:revision>
  <cp:lastPrinted>2009-01-19T10:19:00Z</cp:lastPrinted>
  <dcterms:created xsi:type="dcterms:W3CDTF">2018-01-20T12:00:00Z</dcterms:created>
  <dcterms:modified xsi:type="dcterms:W3CDTF">2018-02-15T16:36:00Z</dcterms:modified>
</cp:coreProperties>
</file>